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51EA0">
      <w:pPr>
        <w:pStyle w:val="197"/>
        <w:widowControl/>
        <w:tabs>
          <w:tab w:val="clear" w:pos="5954"/>
        </w:tabs>
        <w:jc w:val="center"/>
        <w:rPr>
          <w:rFonts w:ascii="Arial" w:hAnsi="Arial" w:cs="Arial"/>
          <w:b/>
          <w:sz w:val="24"/>
          <w:szCs w:val="24"/>
        </w:rPr>
      </w:pPr>
      <w:r>
        <w:rPr>
          <w:rFonts w:ascii="Arial" w:hAnsi="Arial" w:cs="Arial"/>
          <w:b/>
          <w:sz w:val="24"/>
          <w:szCs w:val="24"/>
        </w:rPr>
        <w:t>SÍNTESE INFORMATIVA DO EDITAL</w:t>
      </w:r>
    </w:p>
    <w:p w14:paraId="4C7B4D7A">
      <w:pPr>
        <w:pStyle w:val="197"/>
        <w:widowControl/>
        <w:tabs>
          <w:tab w:val="clear" w:pos="5954"/>
        </w:tabs>
        <w:jc w:val="center"/>
        <w:rPr>
          <w:rFonts w:ascii="Arial" w:hAnsi="Arial" w:cs="Arial"/>
          <w:b/>
          <w:sz w:val="24"/>
          <w:szCs w:val="24"/>
          <w:u w:val="single"/>
        </w:rPr>
      </w:pPr>
    </w:p>
    <w:tbl>
      <w:tblPr>
        <w:tblStyle w:val="4"/>
        <w:tblW w:w="9571" w:type="dxa"/>
        <w:jc w:val="center"/>
        <w:tblLayout w:type="autofit"/>
        <w:tblCellMar>
          <w:top w:w="0" w:type="dxa"/>
          <w:left w:w="70" w:type="dxa"/>
          <w:bottom w:w="0" w:type="dxa"/>
          <w:right w:w="70" w:type="dxa"/>
        </w:tblCellMar>
      </w:tblPr>
      <w:tblGrid>
        <w:gridCol w:w="3340"/>
        <w:gridCol w:w="6231"/>
      </w:tblGrid>
      <w:tr w14:paraId="4BB3A63F">
        <w:tblPrEx>
          <w:tblCellMar>
            <w:top w:w="0" w:type="dxa"/>
            <w:left w:w="70" w:type="dxa"/>
            <w:bottom w:w="0" w:type="dxa"/>
            <w:right w:w="70" w:type="dxa"/>
          </w:tblCellMar>
        </w:tblPrEx>
        <w:trPr>
          <w:trHeight w:val="9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37F914DB">
            <w:pPr>
              <w:jc w:val="center"/>
              <w:rPr>
                <w:rFonts w:ascii="Arial" w:hAnsi="Arial" w:cs="Arial"/>
                <w:b/>
                <w:bCs/>
                <w:color w:val="000000"/>
              </w:rPr>
            </w:pPr>
            <w:r>
              <w:rPr>
                <w:rFonts w:ascii="Arial" w:hAnsi="Arial" w:cs="Arial"/>
                <w:b/>
                <w:bCs/>
                <w:color w:val="000000"/>
              </w:rPr>
              <w:t>Órgão Gerenciador</w:t>
            </w:r>
          </w:p>
        </w:tc>
        <w:tc>
          <w:tcPr>
            <w:tcW w:w="6231" w:type="dxa"/>
            <w:tcBorders>
              <w:top w:val="single" w:color="auto" w:sz="8" w:space="0"/>
              <w:left w:val="nil"/>
              <w:bottom w:val="single" w:color="auto" w:sz="4" w:space="0"/>
              <w:right w:val="single" w:color="auto" w:sz="8" w:space="0"/>
            </w:tcBorders>
            <w:shd w:val="clear" w:color="auto" w:fill="auto"/>
            <w:vAlign w:val="center"/>
          </w:tcPr>
          <w:p w14:paraId="056020EC">
            <w:pPr>
              <w:jc w:val="both"/>
              <w:rPr>
                <w:rFonts w:ascii="Arial" w:hAnsi="Arial" w:cs="Arial"/>
                <w:color w:val="000000"/>
              </w:rPr>
            </w:pPr>
            <w:r>
              <w:rPr>
                <w:rFonts w:ascii="Arial" w:hAnsi="Arial" w:cs="Arial"/>
                <w:color w:val="000000"/>
                <w:sz w:val="22"/>
                <w:szCs w:val="22"/>
              </w:rPr>
              <w:t>Prefeitura Municipal de Cataguases – UASG 984305</w:t>
            </w:r>
          </w:p>
        </w:tc>
      </w:tr>
      <w:tr w14:paraId="6320125F">
        <w:tblPrEx>
          <w:tblCellMar>
            <w:top w:w="0" w:type="dxa"/>
            <w:left w:w="70" w:type="dxa"/>
            <w:bottom w:w="0" w:type="dxa"/>
            <w:right w:w="70" w:type="dxa"/>
          </w:tblCellMar>
        </w:tblPrEx>
        <w:trPr>
          <w:trHeight w:val="42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1E5536B7">
            <w:pPr>
              <w:jc w:val="center"/>
              <w:rPr>
                <w:rFonts w:ascii="Arial" w:hAnsi="Arial" w:cs="Arial"/>
                <w:b/>
                <w:bCs/>
                <w:color w:val="000000"/>
              </w:rPr>
            </w:pPr>
            <w:r>
              <w:rPr>
                <w:rFonts w:ascii="Arial" w:hAnsi="Arial" w:cs="Arial"/>
                <w:b/>
                <w:bCs/>
                <w:color w:val="000000"/>
              </w:rPr>
              <w:t xml:space="preserve">Processo </w:t>
            </w:r>
            <w:r>
              <w:rPr>
                <w:rFonts w:hint="default" w:ascii="Arial" w:hAnsi="Arial" w:cs="Arial"/>
                <w:b/>
                <w:bCs/>
                <w:color w:val="000000"/>
                <w:lang w:val="pt-BR"/>
              </w:rPr>
              <w:t>L</w:t>
            </w:r>
            <w:r>
              <w:rPr>
                <w:rFonts w:ascii="Arial" w:hAnsi="Arial" w:cs="Arial"/>
                <w:b/>
                <w:bCs/>
                <w:color w:val="000000"/>
              </w:rPr>
              <w:t>icitatório n°</w:t>
            </w:r>
          </w:p>
        </w:tc>
        <w:tc>
          <w:tcPr>
            <w:tcW w:w="6231" w:type="dxa"/>
            <w:tcBorders>
              <w:top w:val="single" w:color="auto" w:sz="8" w:space="0"/>
              <w:left w:val="nil"/>
              <w:bottom w:val="single" w:color="auto" w:sz="4" w:space="0"/>
              <w:right w:val="single" w:color="auto" w:sz="8" w:space="0"/>
            </w:tcBorders>
            <w:shd w:val="clear" w:color="auto" w:fill="auto"/>
            <w:vAlign w:val="center"/>
          </w:tcPr>
          <w:p w14:paraId="2620AC2E">
            <w:pPr>
              <w:jc w:val="both"/>
              <w:rPr>
                <w:rFonts w:hint="default" w:ascii="Arial" w:hAnsi="Arial" w:cs="Arial"/>
                <w:color w:val="000000"/>
                <w:lang w:val="pt-BR"/>
              </w:rPr>
            </w:pPr>
            <w:r>
              <w:rPr>
                <w:rFonts w:hint="default" w:ascii="Arial" w:hAnsi="Arial" w:cs="Arial"/>
                <w:color w:val="000000"/>
                <w:sz w:val="22"/>
                <w:szCs w:val="22"/>
                <w:lang w:val="pt-BR"/>
              </w:rPr>
              <w:t>065/2025</w:t>
            </w:r>
          </w:p>
        </w:tc>
      </w:tr>
      <w:tr w14:paraId="75C73B58">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23ED639">
            <w:pPr>
              <w:jc w:val="center"/>
              <w:rPr>
                <w:rFonts w:ascii="Arial" w:hAnsi="Arial" w:cs="Arial"/>
                <w:b/>
                <w:bCs/>
                <w:color w:val="000000"/>
              </w:rPr>
            </w:pPr>
            <w:r>
              <w:rPr>
                <w:rFonts w:ascii="Arial" w:hAnsi="Arial" w:cs="Arial"/>
                <w:b/>
                <w:bCs/>
                <w:color w:val="000000"/>
              </w:rPr>
              <w:t>Pregão Eletrônico n°</w:t>
            </w:r>
          </w:p>
        </w:tc>
        <w:tc>
          <w:tcPr>
            <w:tcW w:w="6231" w:type="dxa"/>
            <w:tcBorders>
              <w:top w:val="nil"/>
              <w:left w:val="nil"/>
              <w:bottom w:val="single" w:color="auto" w:sz="4" w:space="0"/>
              <w:right w:val="single" w:color="auto" w:sz="8" w:space="0"/>
            </w:tcBorders>
            <w:shd w:val="clear" w:color="auto" w:fill="auto"/>
            <w:vAlign w:val="center"/>
          </w:tcPr>
          <w:p w14:paraId="02D84E4E">
            <w:pPr>
              <w:rPr>
                <w:rFonts w:hint="default" w:ascii="Arial" w:hAnsi="Arial" w:cs="Arial"/>
                <w:b/>
                <w:bCs/>
                <w:color w:val="000000"/>
                <w:lang w:val="pt-BR"/>
              </w:rPr>
            </w:pPr>
            <w:r>
              <w:rPr>
                <w:rFonts w:ascii="Arial" w:hAnsi="Arial" w:cs="Arial"/>
                <w:color w:val="000000"/>
                <w:sz w:val="22"/>
                <w:szCs w:val="22"/>
                <w:lang w:val="pt-BR"/>
              </w:rPr>
              <w:t>0</w:t>
            </w:r>
            <w:r>
              <w:rPr>
                <w:rFonts w:hint="default" w:ascii="Arial" w:hAnsi="Arial" w:cs="Arial"/>
                <w:color w:val="000000"/>
                <w:sz w:val="22"/>
                <w:szCs w:val="22"/>
                <w:lang w:val="pt-BR"/>
              </w:rPr>
              <w:t>36</w:t>
            </w:r>
            <w:r>
              <w:rPr>
                <w:rFonts w:ascii="Arial" w:hAnsi="Arial" w:cs="Arial"/>
                <w:color w:val="000000"/>
                <w:sz w:val="22"/>
                <w:szCs w:val="22"/>
                <w:lang w:val="pt-BR"/>
              </w:rPr>
              <w:t>/2025</w:t>
            </w:r>
            <w:r>
              <w:rPr>
                <w:rFonts w:hint="default" w:ascii="Arial" w:hAnsi="Arial" w:cs="Arial"/>
                <w:color w:val="000000"/>
                <w:sz w:val="22"/>
                <w:szCs w:val="22"/>
                <w:lang w:val="pt-BR"/>
              </w:rPr>
              <w:t xml:space="preserve"> - </w:t>
            </w:r>
            <w:r>
              <w:rPr>
                <w:rFonts w:hint="default" w:ascii="Arial" w:hAnsi="Arial" w:cs="Arial"/>
                <w:color w:val="000000"/>
                <w:sz w:val="22"/>
                <w:szCs w:val="22"/>
                <w:highlight w:val="yellow"/>
                <w:lang w:val="pt-BR"/>
              </w:rPr>
              <w:t>Compra 90036</w:t>
            </w:r>
          </w:p>
        </w:tc>
      </w:tr>
      <w:tr w14:paraId="63903046">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D259ADF">
            <w:pPr>
              <w:jc w:val="center"/>
              <w:rPr>
                <w:rFonts w:ascii="Arial" w:hAnsi="Arial" w:cs="Arial"/>
                <w:b/>
                <w:bCs/>
                <w:color w:val="000000"/>
              </w:rPr>
            </w:pPr>
            <w:r>
              <w:rPr>
                <w:rFonts w:ascii="Arial" w:hAnsi="Arial" w:cs="Arial"/>
                <w:b/>
                <w:bCs/>
                <w:color w:val="000000"/>
              </w:rPr>
              <w:t>SRP Registro de Preços n°</w:t>
            </w:r>
          </w:p>
        </w:tc>
        <w:tc>
          <w:tcPr>
            <w:tcW w:w="6231" w:type="dxa"/>
            <w:tcBorders>
              <w:top w:val="nil"/>
              <w:left w:val="nil"/>
              <w:bottom w:val="single" w:color="auto" w:sz="4" w:space="0"/>
              <w:right w:val="single" w:color="auto" w:sz="8" w:space="0"/>
            </w:tcBorders>
            <w:shd w:val="clear" w:color="auto" w:fill="auto"/>
            <w:vAlign w:val="center"/>
          </w:tcPr>
          <w:p w14:paraId="2A3A1C42">
            <w:pPr>
              <w:jc w:val="both"/>
              <w:rPr>
                <w:rFonts w:hint="default" w:ascii="Arial" w:hAnsi="Arial" w:cs="Arial"/>
                <w:b/>
                <w:bCs/>
                <w:color w:val="000000"/>
                <w:lang w:val="pt-BR"/>
              </w:rPr>
            </w:pPr>
            <w:r>
              <w:rPr>
                <w:rFonts w:hint="default" w:ascii="Arial" w:hAnsi="Arial" w:cs="Arial"/>
                <w:color w:val="000000"/>
                <w:sz w:val="22"/>
                <w:szCs w:val="22"/>
                <w:lang w:val="pt-BR"/>
              </w:rPr>
              <w:t>034/2025</w:t>
            </w:r>
          </w:p>
        </w:tc>
      </w:tr>
      <w:tr w14:paraId="739A8BFF">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A13D7B5">
            <w:pPr>
              <w:jc w:val="center"/>
              <w:rPr>
                <w:rFonts w:ascii="Arial" w:hAnsi="Arial" w:cs="Arial"/>
                <w:b/>
                <w:bCs/>
                <w:color w:val="000000"/>
              </w:rPr>
            </w:pPr>
            <w:r>
              <w:rPr>
                <w:rFonts w:ascii="Arial" w:hAnsi="Arial" w:cs="Arial"/>
                <w:b/>
                <w:bCs/>
                <w:color w:val="000000"/>
              </w:rPr>
              <w:t>Critério de julgamento</w:t>
            </w:r>
          </w:p>
        </w:tc>
        <w:tc>
          <w:tcPr>
            <w:tcW w:w="6231" w:type="dxa"/>
            <w:tcBorders>
              <w:top w:val="nil"/>
              <w:left w:val="nil"/>
              <w:bottom w:val="single" w:color="auto" w:sz="4" w:space="0"/>
              <w:right w:val="single" w:color="auto" w:sz="8" w:space="0"/>
            </w:tcBorders>
            <w:shd w:val="clear" w:color="auto" w:fill="auto"/>
            <w:vAlign w:val="center"/>
          </w:tcPr>
          <w:p w14:paraId="244578B2">
            <w:pPr>
              <w:rPr>
                <w:rFonts w:hint="default" w:ascii="Arial" w:hAnsi="Arial" w:cs="Arial"/>
                <w:color w:val="000000"/>
                <w:lang w:val="pt-BR"/>
              </w:rPr>
            </w:pPr>
            <w:r>
              <w:rPr>
                <w:rFonts w:hint="default" w:ascii="Arial" w:hAnsi="Arial" w:cs="Arial"/>
                <w:color w:val="000000"/>
                <w:sz w:val="22"/>
                <w:szCs w:val="22"/>
                <w:lang w:val="pt-BR"/>
              </w:rPr>
              <w:t>M</w:t>
            </w:r>
            <w:r>
              <w:rPr>
                <w:rFonts w:ascii="Arial" w:hAnsi="Arial" w:cs="Arial"/>
                <w:color w:val="000000"/>
                <w:sz w:val="22"/>
                <w:szCs w:val="22"/>
                <w:lang w:val="pt-BR"/>
              </w:rPr>
              <w:t>aior desconto</w:t>
            </w:r>
            <w:r>
              <w:rPr>
                <w:rFonts w:hint="default" w:ascii="Arial" w:hAnsi="Arial" w:cs="Arial"/>
                <w:color w:val="000000"/>
                <w:sz w:val="22"/>
                <w:szCs w:val="22"/>
                <w:lang w:val="pt-BR"/>
              </w:rPr>
              <w:t xml:space="preserve"> por item sobre a Tabela CMED/Anvisa no PMVG (Preço máximo de venda ao governo)</w:t>
            </w:r>
          </w:p>
        </w:tc>
      </w:tr>
      <w:tr w14:paraId="03FBB6D3">
        <w:tblPrEx>
          <w:tblCellMar>
            <w:top w:w="0" w:type="dxa"/>
            <w:left w:w="70" w:type="dxa"/>
            <w:bottom w:w="0" w:type="dxa"/>
            <w:right w:w="70" w:type="dxa"/>
          </w:tblCellMar>
        </w:tblPrEx>
        <w:trPr>
          <w:trHeight w:val="1122"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6C5BF41B">
            <w:pPr>
              <w:jc w:val="center"/>
              <w:rPr>
                <w:rFonts w:ascii="Arial" w:hAnsi="Arial" w:cs="Arial"/>
                <w:b/>
                <w:bCs/>
                <w:color w:val="000000"/>
              </w:rPr>
            </w:pPr>
            <w:r>
              <w:rPr>
                <w:rFonts w:ascii="Arial" w:hAnsi="Arial" w:cs="Arial"/>
                <w:b/>
                <w:bCs/>
                <w:color w:val="000000"/>
              </w:rPr>
              <w:t>Data e horário de abertura para lances:</w:t>
            </w:r>
          </w:p>
        </w:tc>
        <w:tc>
          <w:tcPr>
            <w:tcW w:w="6231" w:type="dxa"/>
            <w:tcBorders>
              <w:top w:val="nil"/>
              <w:left w:val="nil"/>
              <w:bottom w:val="single" w:color="auto" w:sz="4" w:space="0"/>
              <w:right w:val="single" w:color="auto" w:sz="8" w:space="0"/>
            </w:tcBorders>
            <w:shd w:val="clear" w:color="auto" w:fill="auto"/>
            <w:vAlign w:val="center"/>
          </w:tcPr>
          <w:p w14:paraId="12F200D2">
            <w:pPr>
              <w:jc w:val="both"/>
              <w:rPr>
                <w:rFonts w:ascii="Arial" w:hAnsi="Arial" w:cs="Arial"/>
                <w:b/>
                <w:bCs/>
                <w:color w:val="000000"/>
              </w:rPr>
            </w:pPr>
            <w:r>
              <w:rPr>
                <w:rFonts w:hint="default" w:ascii="Arial" w:hAnsi="Arial" w:cs="Arial"/>
                <w:b/>
                <w:bCs/>
                <w:color w:val="000000"/>
                <w:sz w:val="22"/>
                <w:szCs w:val="22"/>
                <w:lang w:val="pt-BR"/>
              </w:rPr>
              <w:t>16/05/2025</w:t>
            </w:r>
            <w:r>
              <w:rPr>
                <w:rFonts w:ascii="Arial" w:hAnsi="Arial" w:cs="Arial"/>
                <w:b/>
                <w:bCs/>
                <w:color w:val="000000"/>
                <w:sz w:val="22"/>
                <w:szCs w:val="22"/>
              </w:rPr>
              <w:t xml:space="preserve">. Início: 09h (nove horas)                   </w:t>
            </w:r>
          </w:p>
          <w:p w14:paraId="3C951FB6">
            <w:pPr>
              <w:jc w:val="both"/>
              <w:rPr>
                <w:rFonts w:ascii="Arial" w:hAnsi="Arial" w:cs="Arial"/>
                <w:b/>
                <w:bCs/>
                <w:color w:val="000000"/>
              </w:rPr>
            </w:pPr>
            <w:r>
              <w:rPr>
                <w:rFonts w:ascii="Arial" w:hAnsi="Arial" w:cs="Arial"/>
                <w:b/>
                <w:bCs/>
                <w:color w:val="000000"/>
                <w:sz w:val="22"/>
                <w:szCs w:val="22"/>
              </w:rPr>
              <w:t xml:space="preserve">Local: </w:t>
            </w:r>
            <w:r>
              <w:rPr>
                <w:rFonts w:ascii="Arial" w:hAnsi="Arial" w:cs="Arial"/>
                <w:sz w:val="22"/>
                <w:szCs w:val="22"/>
              </w:rPr>
              <w:t>www.comprasgovernamentais.gov.br</w:t>
            </w:r>
          </w:p>
        </w:tc>
      </w:tr>
      <w:tr w14:paraId="5E33A4AD">
        <w:tblPrEx>
          <w:tblCellMar>
            <w:top w:w="0" w:type="dxa"/>
            <w:left w:w="70" w:type="dxa"/>
            <w:bottom w:w="0" w:type="dxa"/>
            <w:right w:w="70" w:type="dxa"/>
          </w:tblCellMar>
        </w:tblPrEx>
        <w:trPr>
          <w:trHeight w:val="557"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CC79575">
            <w:pPr>
              <w:jc w:val="center"/>
              <w:rPr>
                <w:rFonts w:ascii="Arial" w:hAnsi="Arial" w:cs="Arial"/>
                <w:b/>
                <w:bCs/>
                <w:color w:val="000000"/>
              </w:rPr>
            </w:pPr>
            <w:r>
              <w:rPr>
                <w:rFonts w:ascii="Arial" w:hAnsi="Arial" w:cs="Arial"/>
                <w:b/>
                <w:bCs/>
                <w:color w:val="000000"/>
              </w:rPr>
              <w:t>Local:</w:t>
            </w:r>
          </w:p>
        </w:tc>
        <w:tc>
          <w:tcPr>
            <w:tcW w:w="6231" w:type="dxa"/>
            <w:tcBorders>
              <w:top w:val="nil"/>
              <w:left w:val="nil"/>
              <w:bottom w:val="single" w:color="auto" w:sz="4" w:space="0"/>
              <w:right w:val="single" w:color="auto" w:sz="8" w:space="0"/>
            </w:tcBorders>
            <w:shd w:val="clear" w:color="auto" w:fill="auto"/>
            <w:vAlign w:val="center"/>
          </w:tcPr>
          <w:p w14:paraId="24595B11">
            <w:pPr>
              <w:jc w:val="both"/>
              <w:rPr>
                <w:rFonts w:ascii="Arial" w:hAnsi="Arial" w:cs="Arial"/>
                <w:b/>
              </w:rPr>
            </w:pPr>
            <w:r>
              <w:rPr>
                <w:rFonts w:ascii="Arial" w:hAnsi="Arial" w:cs="Arial"/>
                <w:sz w:val="22"/>
                <w:szCs w:val="22"/>
              </w:rPr>
              <w:t>www.comprasgovernamentais.gov.br</w:t>
            </w:r>
          </w:p>
        </w:tc>
      </w:tr>
      <w:tr w14:paraId="6B52B8DF">
        <w:tblPrEx>
          <w:tblCellMar>
            <w:top w:w="0" w:type="dxa"/>
            <w:left w:w="70" w:type="dxa"/>
            <w:bottom w:w="0" w:type="dxa"/>
            <w:right w:w="70" w:type="dxa"/>
          </w:tblCellMar>
        </w:tblPrEx>
        <w:trPr>
          <w:trHeight w:val="1236"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C8AFB8E">
            <w:pPr>
              <w:jc w:val="center"/>
              <w:rPr>
                <w:rFonts w:ascii="Arial" w:hAnsi="Arial" w:cs="Arial"/>
                <w:b/>
                <w:bCs/>
                <w:color w:val="000000"/>
              </w:rPr>
            </w:pPr>
            <w:r>
              <w:rPr>
                <w:rFonts w:ascii="Arial" w:hAnsi="Arial" w:cs="Arial"/>
                <w:b/>
                <w:bCs/>
                <w:color w:val="000000"/>
              </w:rPr>
              <w:t>Objeto do certame</w:t>
            </w:r>
          </w:p>
        </w:tc>
        <w:tc>
          <w:tcPr>
            <w:tcW w:w="6231" w:type="dxa"/>
            <w:tcBorders>
              <w:top w:val="nil"/>
              <w:left w:val="nil"/>
              <w:bottom w:val="single" w:color="auto" w:sz="4" w:space="0"/>
              <w:right w:val="single" w:color="auto" w:sz="8" w:space="0"/>
            </w:tcBorders>
            <w:shd w:val="clear" w:color="auto" w:fill="auto"/>
            <w:vAlign w:val="center"/>
          </w:tcPr>
          <w:p w14:paraId="1569899A">
            <w:pPr>
              <w:jc w:val="both"/>
              <w:rPr>
                <w:rFonts w:ascii="Arial" w:hAnsi="Arial" w:cs="Arial"/>
                <w:color w:val="000000"/>
              </w:rPr>
            </w:pPr>
          </w:p>
          <w:p w14:paraId="1E3E8F63">
            <w:pPr>
              <w:jc w:val="both"/>
              <w:rPr>
                <w:rFonts w:ascii="Arial" w:hAnsi="Arial" w:cs="Arial"/>
                <w:color w:val="000000"/>
              </w:rPr>
            </w:pPr>
            <w:r>
              <w:rPr>
                <w:rFonts w:ascii="Arial" w:hAnsi="Arial" w:cs="Arial"/>
                <w:color w:val="000000"/>
              </w:rPr>
              <w:t xml:space="preserve">Registrar preços para futura e eventual contratação de </w:t>
            </w:r>
            <w:r>
              <w:rPr>
                <w:rFonts w:ascii="Arial" w:hAnsi="Arial" w:cs="Arial"/>
                <w:szCs w:val="24"/>
              </w:rPr>
              <w:t>empresa especializada em fornecimento de medicamentos de A à Z</w:t>
            </w:r>
            <w:r>
              <w:rPr>
                <w:rFonts w:hint="default" w:ascii="Arial" w:hAnsi="Arial" w:cs="Arial"/>
                <w:szCs w:val="24"/>
                <w:lang w:val="pt-BR"/>
              </w:rPr>
              <w:t xml:space="preserve"> r</w:t>
            </w:r>
            <w:r>
              <w:rPr>
                <w:rFonts w:ascii="Arial" w:hAnsi="Arial" w:cs="Arial"/>
                <w:szCs w:val="24"/>
              </w:rPr>
              <w:t>eferência</w:t>
            </w:r>
            <w:r>
              <w:rPr>
                <w:rFonts w:hint="default" w:ascii="Arial" w:hAnsi="Arial" w:cs="Arial"/>
                <w:szCs w:val="24"/>
                <w:lang w:val="pt-BR"/>
              </w:rPr>
              <w:t xml:space="preserve"> (Éticos e Biológicos)</w:t>
            </w:r>
            <w:r>
              <w:rPr>
                <w:rFonts w:ascii="Arial" w:hAnsi="Arial" w:cs="Arial"/>
                <w:szCs w:val="24"/>
              </w:rPr>
              <w:t>, contidos na tabela CMED/ANVISA</w:t>
            </w:r>
            <w:r>
              <w:rPr>
                <w:rFonts w:hint="default" w:ascii="Arial" w:hAnsi="Arial" w:cs="Arial"/>
                <w:szCs w:val="24"/>
                <w:lang w:val="pt-BR"/>
              </w:rPr>
              <w:t xml:space="preserve"> no PMVG</w:t>
            </w:r>
            <w:r>
              <w:rPr>
                <w:rFonts w:ascii="Arial" w:hAnsi="Arial" w:cs="Arial"/>
                <w:szCs w:val="24"/>
              </w:rPr>
              <w:t xml:space="preserve"> para atender às demandas da Secretaria Municipal de Saúde de Cataguases</w:t>
            </w:r>
            <w:r>
              <w:rPr>
                <w:rFonts w:hint="default" w:ascii="Arial" w:hAnsi="Arial" w:cs="Arial"/>
                <w:szCs w:val="24"/>
                <w:lang w:val="pt-BR"/>
              </w:rPr>
              <w:t>-</w:t>
            </w:r>
            <w:r>
              <w:rPr>
                <w:rFonts w:ascii="Arial" w:hAnsi="Arial" w:cs="Arial"/>
                <w:szCs w:val="24"/>
              </w:rPr>
              <w:t>MG</w:t>
            </w:r>
            <w:r>
              <w:rPr>
                <w:rFonts w:hint="default" w:ascii="Arial" w:hAnsi="Arial" w:cs="Arial"/>
                <w:color w:val="000000"/>
                <w:lang w:val="pt-BR"/>
              </w:rPr>
              <w:t>.</w:t>
            </w:r>
          </w:p>
          <w:p w14:paraId="40BE8182">
            <w:pPr>
              <w:jc w:val="both"/>
              <w:rPr>
                <w:rFonts w:ascii="Arial" w:hAnsi="Arial" w:cs="Arial"/>
                <w:color w:val="000000"/>
              </w:rPr>
            </w:pPr>
          </w:p>
        </w:tc>
      </w:tr>
      <w:tr w14:paraId="13D7C855">
        <w:tblPrEx>
          <w:tblCellMar>
            <w:top w:w="0" w:type="dxa"/>
            <w:left w:w="70" w:type="dxa"/>
            <w:bottom w:w="0" w:type="dxa"/>
            <w:right w:w="70" w:type="dxa"/>
          </w:tblCellMar>
        </w:tblPrEx>
        <w:trPr>
          <w:trHeight w:val="55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EB93E69">
            <w:pPr>
              <w:jc w:val="center"/>
              <w:rPr>
                <w:rFonts w:ascii="Arial" w:hAnsi="Arial" w:cs="Arial"/>
                <w:b/>
                <w:bCs/>
                <w:color w:val="000000"/>
              </w:rPr>
            </w:pPr>
            <w:r>
              <w:rPr>
                <w:rFonts w:ascii="Arial" w:hAnsi="Arial" w:cs="Arial"/>
                <w:b/>
                <w:bCs/>
                <w:color w:val="000000"/>
              </w:rPr>
              <w:t>Valor global estimado</w:t>
            </w:r>
          </w:p>
        </w:tc>
        <w:tc>
          <w:tcPr>
            <w:tcW w:w="6231" w:type="dxa"/>
            <w:tcBorders>
              <w:top w:val="nil"/>
              <w:left w:val="nil"/>
              <w:bottom w:val="single" w:color="auto" w:sz="4" w:space="0"/>
              <w:right w:val="single" w:color="auto" w:sz="8" w:space="0"/>
            </w:tcBorders>
            <w:shd w:val="clear" w:color="auto" w:fill="auto"/>
            <w:vAlign w:val="center"/>
          </w:tcPr>
          <w:p w14:paraId="08973348">
            <w:pPr>
              <w:jc w:val="both"/>
              <w:rPr>
                <w:rFonts w:hint="default" w:ascii="Arial" w:hAnsi="Arial" w:cs="Arial"/>
                <w:b/>
                <w:bCs/>
                <w:color w:val="000000"/>
                <w:lang w:val="pt-BR"/>
              </w:rPr>
            </w:pPr>
            <w:r>
              <w:rPr>
                <w:rFonts w:ascii="Arial" w:hAnsi="Arial" w:cs="Arial"/>
                <w:b/>
                <w:bCs/>
                <w:color w:val="000000"/>
                <w:sz w:val="22"/>
                <w:szCs w:val="22"/>
              </w:rPr>
              <w:t xml:space="preserve">R$ </w:t>
            </w:r>
            <w:r>
              <w:rPr>
                <w:rFonts w:hint="default" w:ascii="Arial" w:hAnsi="Arial" w:cs="Arial"/>
                <w:b/>
                <w:bCs/>
                <w:color w:val="000000"/>
                <w:sz w:val="22"/>
                <w:szCs w:val="22"/>
                <w:lang w:val="pt-BR"/>
              </w:rPr>
              <w:t>150.000,00</w:t>
            </w:r>
          </w:p>
        </w:tc>
      </w:tr>
      <w:tr w14:paraId="5262F6F9">
        <w:tblPrEx>
          <w:tblCellMar>
            <w:top w:w="0" w:type="dxa"/>
            <w:left w:w="70" w:type="dxa"/>
            <w:bottom w:w="0" w:type="dxa"/>
            <w:right w:w="70" w:type="dxa"/>
          </w:tblCellMar>
        </w:tblPrEx>
        <w:trPr>
          <w:trHeight w:val="1213"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1DC0B5A">
            <w:pPr>
              <w:jc w:val="cente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color="auto" w:sz="4" w:space="0"/>
              <w:right w:val="single" w:color="auto" w:sz="8" w:space="0"/>
            </w:tcBorders>
            <w:shd w:val="clear" w:color="auto" w:fill="auto"/>
            <w:vAlign w:val="center"/>
          </w:tcPr>
          <w:p w14:paraId="3B850AB0">
            <w:pPr>
              <w:jc w:val="both"/>
              <w:rPr>
                <w:rFonts w:ascii="Arial" w:hAnsi="Arial" w:cs="Arial"/>
                <w:color w:val="000000"/>
              </w:rPr>
            </w:pPr>
            <w:r>
              <w:rPr>
                <w:rFonts w:ascii="Arial" w:hAnsi="Arial" w:cs="Arial"/>
                <w:color w:val="000000"/>
                <w:sz w:val="22"/>
                <w:szCs w:val="22"/>
              </w:rPr>
              <w:t xml:space="preserve">Na internet, no site </w:t>
            </w:r>
            <w:r>
              <w:fldChar w:fldCharType="begin"/>
            </w:r>
            <w:r>
              <w:instrText xml:space="preserve"> HYPERLINK "http://www.cataguases.mg.gov.br" </w:instrText>
            </w:r>
            <w:r>
              <w:fldChar w:fldCharType="separate"/>
            </w:r>
            <w:r>
              <w:rPr>
                <w:rStyle w:val="11"/>
                <w:rFonts w:ascii="Arial" w:hAnsi="Arial" w:eastAsia="Arial" w:cs="Arial"/>
                <w:sz w:val="22"/>
                <w:szCs w:val="22"/>
              </w:rPr>
              <w:t>www.cataguases.mg.gov.br</w:t>
            </w:r>
            <w:r>
              <w:rPr>
                <w:rStyle w:val="11"/>
                <w:rFonts w:ascii="Arial" w:hAnsi="Arial" w:eastAsia="Arial" w:cs="Arial"/>
                <w:sz w:val="22"/>
                <w:szCs w:val="22"/>
              </w:rPr>
              <w:fldChar w:fldCharType="end"/>
            </w:r>
            <w:r>
              <w:rPr>
                <w:rFonts w:ascii="Arial" w:hAnsi="Arial" w:cs="Arial"/>
                <w:color w:val="000000"/>
                <w:sz w:val="22"/>
                <w:szCs w:val="22"/>
              </w:rPr>
              <w:t xml:space="preserve"> e e-mail: </w:t>
            </w:r>
            <w:r>
              <w:fldChar w:fldCharType="begin"/>
            </w:r>
            <w:r>
              <w:instrText xml:space="preserve"> HYPERLINK "mailto:pregaocataguases@gmail.com" </w:instrText>
            </w:r>
            <w:r>
              <w:fldChar w:fldCharType="separate"/>
            </w:r>
            <w:r>
              <w:rPr>
                <w:rStyle w:val="11"/>
                <w:rFonts w:ascii="Arial" w:hAnsi="Arial" w:eastAsia="Arial" w:cs="Arial"/>
                <w:sz w:val="22"/>
                <w:szCs w:val="22"/>
              </w:rPr>
              <w:t>pregaocataguases@gmail.com</w:t>
            </w:r>
            <w:r>
              <w:rPr>
                <w:rStyle w:val="11"/>
                <w:rFonts w:ascii="Arial" w:hAnsi="Arial" w:eastAsia="Arial" w:cs="Arial"/>
                <w:sz w:val="22"/>
                <w:szCs w:val="22"/>
              </w:rPr>
              <w:fldChar w:fldCharType="end"/>
            </w:r>
            <w:r>
              <w:rPr>
                <w:rFonts w:ascii="Arial" w:hAnsi="Arial" w:cs="Arial"/>
                <w:color w:val="000000"/>
                <w:sz w:val="22"/>
                <w:szCs w:val="22"/>
              </w:rPr>
              <w:t>, telefones (32) 99940 5331.</w:t>
            </w:r>
          </w:p>
        </w:tc>
      </w:tr>
      <w:tr w14:paraId="34F8C077">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6AAEE4E0">
            <w:pPr>
              <w:jc w:val="center"/>
              <w:rPr>
                <w:rFonts w:ascii="Arial" w:hAnsi="Arial" w:cs="Arial"/>
                <w:b/>
                <w:bCs/>
                <w:color w:val="000000"/>
              </w:rPr>
            </w:pPr>
            <w:r>
              <w:rPr>
                <w:rFonts w:ascii="Arial" w:hAnsi="Arial" w:cs="Arial"/>
                <w:b/>
                <w:bCs/>
                <w:color w:val="000000"/>
              </w:rPr>
              <w:t>Referência de tempo</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35752D4D">
            <w:pPr>
              <w:rPr>
                <w:rFonts w:ascii="Arial" w:hAnsi="Arial" w:cs="Arial"/>
                <w:color w:val="000000"/>
              </w:rPr>
            </w:pPr>
            <w:r>
              <w:rPr>
                <w:rFonts w:ascii="Arial" w:hAnsi="Arial" w:cs="Arial"/>
                <w:color w:val="000000"/>
                <w:sz w:val="22"/>
                <w:szCs w:val="22"/>
              </w:rPr>
              <w:t>Horário de Brasília</w:t>
            </w:r>
          </w:p>
        </w:tc>
      </w:tr>
      <w:tr w14:paraId="003E1C0F">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4585886B">
            <w:pPr>
              <w:jc w:val="center"/>
              <w:rPr>
                <w:rFonts w:ascii="Arial" w:hAnsi="Arial" w:cs="Arial"/>
                <w:b/>
                <w:bCs/>
                <w:color w:val="000000"/>
              </w:rPr>
            </w:pPr>
            <w:r>
              <w:rPr>
                <w:rFonts w:ascii="Arial" w:hAnsi="Arial" w:cs="Arial"/>
                <w:b/>
                <w:bCs/>
                <w:color w:val="000000"/>
              </w:rPr>
              <w:t>Fundamentação Legal</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44EC5176">
            <w:pPr>
              <w:rPr>
                <w:rFonts w:ascii="Arial" w:hAnsi="Arial" w:cs="Arial"/>
                <w:color w:val="000000"/>
                <w:sz w:val="22"/>
                <w:szCs w:val="22"/>
              </w:rPr>
            </w:pPr>
            <w:r>
              <w:rPr>
                <w:rFonts w:ascii="Arial" w:hAnsi="Arial" w:cs="Arial"/>
                <w:color w:val="000000"/>
                <w:sz w:val="22"/>
                <w:szCs w:val="22"/>
              </w:rPr>
              <w:t>14.133 de 01 de abril de 2021</w:t>
            </w:r>
          </w:p>
        </w:tc>
      </w:tr>
    </w:tbl>
    <w:p w14:paraId="432B8181">
      <w:pPr>
        <w:jc w:val="center"/>
        <w:rPr>
          <w:rFonts w:ascii="Arial" w:hAnsi="Arial" w:cs="Arial"/>
          <w:sz w:val="20"/>
        </w:rPr>
      </w:pPr>
    </w:p>
    <w:p w14:paraId="413CF24D">
      <w:pPr>
        <w:jc w:val="center"/>
        <w:rPr>
          <w:rFonts w:ascii="Arial" w:hAnsi="Arial" w:cs="Arial"/>
          <w:sz w:val="20"/>
        </w:rPr>
      </w:pPr>
    </w:p>
    <w:p w14:paraId="65CC85B8">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rPr>
        <w:t>A LICITANTE DEVERÁ INFORMAR EM SUA PROPOSTA, OBRIGATORIAMENTE, ENDEREÇO DE E-MAIL VÁLIDO</w:t>
      </w:r>
      <w:r>
        <w:rPr>
          <w:rFonts w:hint="default" w:ascii="Arial" w:hAnsi="Arial" w:cs="Arial"/>
          <w:b/>
          <w:lang w:val="pt-BR"/>
        </w:rPr>
        <w:t>.</w:t>
      </w:r>
    </w:p>
    <w:p w14:paraId="127AD03F">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Comprasnet e o termo de referência, </w:t>
      </w:r>
      <w:r>
        <w:rPr>
          <w:rFonts w:ascii="Arial" w:hAnsi="Arial" w:cs="Arial"/>
          <w:b/>
          <w:sz w:val="20"/>
          <w:szCs w:val="20"/>
          <w:highlight w:val="yellow"/>
        </w:rPr>
        <w:t>sendo a aceita o item ofertado de acordo com o TERMO DE REFERENCIA e a PROPOSTA COMERCIAL – ANEXO II.</w:t>
      </w:r>
    </w:p>
    <w:p w14:paraId="7A21F4D4">
      <w:pPr>
        <w:jc w:val="center"/>
        <w:rPr>
          <w:rFonts w:ascii="Arial" w:hAnsi="Arial" w:cs="Arial"/>
          <w:sz w:val="20"/>
        </w:rPr>
      </w:pPr>
    </w:p>
    <w:p w14:paraId="72F79F0F">
      <w:pPr>
        <w:jc w:val="center"/>
        <w:rPr>
          <w:rFonts w:ascii="Arial" w:hAnsi="Arial" w:cs="Arial"/>
          <w:sz w:val="20"/>
        </w:rPr>
      </w:pPr>
    </w:p>
    <w:p w14:paraId="75990E21">
      <w:pPr>
        <w:jc w:val="center"/>
        <w:rPr>
          <w:rFonts w:ascii="Arial" w:hAnsi="Arial" w:cs="Arial"/>
          <w:sz w:val="20"/>
        </w:rPr>
      </w:pPr>
    </w:p>
    <w:p w14:paraId="40E104BE">
      <w:pPr>
        <w:jc w:val="center"/>
        <w:rPr>
          <w:rFonts w:ascii="Arial" w:hAnsi="Arial" w:cs="Arial"/>
          <w:sz w:val="20"/>
        </w:rPr>
      </w:pPr>
    </w:p>
    <w:p w14:paraId="750DEEA8">
      <w:pPr>
        <w:jc w:val="center"/>
        <w:rPr>
          <w:rFonts w:ascii="Arial" w:hAnsi="Arial" w:cs="Arial"/>
          <w:sz w:val="20"/>
        </w:rPr>
      </w:pPr>
    </w:p>
    <w:p w14:paraId="727E2C5A">
      <w:pPr>
        <w:jc w:val="center"/>
        <w:rPr>
          <w:rFonts w:ascii="Arial" w:hAnsi="Arial" w:cs="Arial"/>
          <w:sz w:val="20"/>
        </w:rPr>
      </w:pPr>
    </w:p>
    <w:p w14:paraId="4FC636BB">
      <w:pPr>
        <w:jc w:val="center"/>
        <w:rPr>
          <w:rFonts w:ascii="Arial" w:hAnsi="Arial" w:cs="Arial"/>
          <w:sz w:val="20"/>
        </w:rPr>
      </w:pPr>
    </w:p>
    <w:p w14:paraId="6055EB89">
      <w:pPr>
        <w:jc w:val="center"/>
        <w:rPr>
          <w:rFonts w:ascii="Arial" w:hAnsi="Arial" w:cs="Arial"/>
          <w:sz w:val="20"/>
        </w:rPr>
      </w:pPr>
    </w:p>
    <w:p w14:paraId="49C063E3">
      <w:pPr>
        <w:jc w:val="center"/>
        <w:rPr>
          <w:rFonts w:ascii="Arial" w:hAnsi="Arial" w:cs="Arial"/>
          <w:sz w:val="20"/>
        </w:rPr>
      </w:pPr>
    </w:p>
    <w:p w14:paraId="3D6ED611">
      <w:pPr>
        <w:jc w:val="both"/>
        <w:rPr>
          <w:rFonts w:ascii="Arial" w:hAnsi="Arial" w:cs="Arial"/>
          <w:sz w:val="20"/>
        </w:rPr>
      </w:pPr>
    </w:p>
    <w:p w14:paraId="5C7DE68A">
      <w:pPr>
        <w:spacing w:line="360" w:lineRule="auto"/>
        <w:jc w:val="center"/>
        <w:rPr>
          <w:rFonts w:hint="default" w:ascii="Arial" w:hAnsi="Arial" w:cs="Arial"/>
          <w:b/>
          <w:bCs/>
          <w:sz w:val="20"/>
          <w:szCs w:val="20"/>
          <w:lang w:val="pt-BR"/>
        </w:rPr>
      </w:pPr>
      <w:r>
        <w:rPr>
          <w:rFonts w:ascii="Arial" w:hAnsi="Arial" w:cs="Arial"/>
          <w:b/>
          <w:bCs/>
          <w:sz w:val="20"/>
          <w:szCs w:val="20"/>
        </w:rPr>
        <w:t xml:space="preserve">EDITAL DE PREGÃO ELETRÔNICO Nº </w:t>
      </w:r>
      <w:r>
        <w:rPr>
          <w:rFonts w:ascii="Arial" w:hAnsi="Arial" w:cs="Arial"/>
          <w:b/>
          <w:bCs/>
          <w:sz w:val="20"/>
          <w:szCs w:val="20"/>
          <w:lang w:val="pt-BR"/>
        </w:rPr>
        <w:t>0</w:t>
      </w:r>
      <w:r>
        <w:rPr>
          <w:rFonts w:hint="default" w:ascii="Arial" w:hAnsi="Arial" w:cs="Arial"/>
          <w:b/>
          <w:bCs/>
          <w:sz w:val="20"/>
          <w:szCs w:val="20"/>
          <w:lang w:val="pt-BR"/>
        </w:rPr>
        <w:t>36</w:t>
      </w:r>
      <w:r>
        <w:rPr>
          <w:rFonts w:ascii="Arial" w:hAnsi="Arial" w:cs="Arial"/>
          <w:b/>
          <w:bCs/>
          <w:sz w:val="20"/>
          <w:szCs w:val="20"/>
          <w:lang w:val="pt-BR"/>
        </w:rPr>
        <w:t>/2025</w:t>
      </w:r>
    </w:p>
    <w:p w14:paraId="4E3BAA0E">
      <w:pPr>
        <w:spacing w:line="360" w:lineRule="auto"/>
        <w:jc w:val="center"/>
        <w:rPr>
          <w:rFonts w:ascii="Arial" w:hAnsi="Arial" w:cs="Arial"/>
          <w:b/>
          <w:bCs/>
          <w:sz w:val="20"/>
          <w:szCs w:val="20"/>
        </w:rPr>
      </w:pPr>
    </w:p>
    <w:p w14:paraId="71C6DA8B">
      <w:pPr>
        <w:spacing w:line="360" w:lineRule="auto"/>
        <w:rPr>
          <w:rFonts w:hint="default" w:ascii="Arial" w:hAnsi="Arial" w:cs="Arial"/>
          <w:b/>
          <w:sz w:val="20"/>
          <w:szCs w:val="20"/>
          <w:lang w:val="pt-BR"/>
        </w:rPr>
      </w:pPr>
      <w:r>
        <w:rPr>
          <w:rFonts w:ascii="Arial" w:hAnsi="Arial" w:cs="Arial"/>
          <w:b/>
          <w:bCs/>
          <w:sz w:val="20"/>
          <w:szCs w:val="20"/>
        </w:rPr>
        <w:t xml:space="preserve">Processo n°: </w:t>
      </w:r>
      <w:r>
        <w:rPr>
          <w:rFonts w:hint="default" w:ascii="Arial" w:hAnsi="Arial" w:cs="Arial"/>
          <w:b/>
          <w:bCs/>
          <w:sz w:val="20"/>
          <w:szCs w:val="20"/>
          <w:lang w:val="pt-BR"/>
        </w:rPr>
        <w:t>065/2025</w:t>
      </w:r>
    </w:p>
    <w:p w14:paraId="6410A2CA">
      <w:pPr>
        <w:spacing w:line="360" w:lineRule="auto"/>
        <w:rPr>
          <w:rFonts w:hint="default" w:ascii="Arial" w:hAnsi="Arial" w:cs="Arial"/>
          <w:b/>
          <w:color w:val="FF0000"/>
          <w:sz w:val="20"/>
          <w:szCs w:val="20"/>
          <w:lang w:val="pt-BR"/>
        </w:rPr>
      </w:pPr>
      <w:r>
        <w:rPr>
          <w:rFonts w:ascii="Arial" w:hAnsi="Arial" w:cs="Arial"/>
          <w:b/>
          <w:bCs/>
          <w:color w:val="FF0000"/>
          <w:sz w:val="20"/>
          <w:szCs w:val="20"/>
        </w:rPr>
        <w:t>Data de Abertura para lances:</w:t>
      </w:r>
      <w:r>
        <w:rPr>
          <w:rFonts w:hint="default" w:ascii="Arial" w:hAnsi="Arial" w:cs="Arial"/>
          <w:b/>
          <w:bCs/>
          <w:color w:val="FF0000"/>
          <w:sz w:val="20"/>
          <w:szCs w:val="20"/>
          <w:lang w:val="pt-BR"/>
        </w:rPr>
        <w:t xml:space="preserve"> 16/05/2025</w:t>
      </w:r>
    </w:p>
    <w:p w14:paraId="1E1D798B">
      <w:pPr>
        <w:spacing w:line="360" w:lineRule="auto"/>
        <w:rPr>
          <w:rFonts w:ascii="Arial" w:hAnsi="Arial" w:cs="Arial"/>
          <w:b/>
          <w:sz w:val="20"/>
          <w:szCs w:val="20"/>
        </w:rPr>
      </w:pPr>
      <w:r>
        <w:rPr>
          <w:rFonts w:ascii="Arial" w:hAnsi="Arial" w:cs="Arial"/>
          <w:b/>
          <w:bCs/>
          <w:sz w:val="20"/>
          <w:szCs w:val="20"/>
        </w:rPr>
        <w:t>Horário: 09 (nove) horas</w:t>
      </w:r>
    </w:p>
    <w:p w14:paraId="6347EA1A">
      <w:pPr>
        <w:spacing w:line="360" w:lineRule="auto"/>
        <w:rPr>
          <w:rStyle w:val="267"/>
          <w:rFonts w:ascii="Arial" w:hAnsi="Arial" w:cs="Arial"/>
          <w:b/>
          <w:color w:val="auto"/>
          <w:sz w:val="20"/>
          <w:szCs w:val="20"/>
        </w:rPr>
      </w:pPr>
      <w:r>
        <w:rPr>
          <w:rFonts w:ascii="Arial" w:hAnsi="Arial" w:cs="Arial"/>
          <w:b/>
          <w:sz w:val="20"/>
          <w:szCs w:val="20"/>
        </w:rPr>
        <w:t xml:space="preserve">Local: </w:t>
      </w:r>
      <w:r>
        <w:fldChar w:fldCharType="begin"/>
      </w:r>
      <w:r>
        <w:instrText xml:space="preserve"> HYPERLINK "http://www.comprasnet.gov.br/" \o "http://www.comprasnet.gov.br/" </w:instrText>
      </w:r>
      <w:r>
        <w:fldChar w:fldCharType="separate"/>
      </w:r>
      <w:r>
        <w:rPr>
          <w:rStyle w:val="267"/>
          <w:rFonts w:ascii="Arial" w:hAnsi="Arial" w:cs="Arial"/>
          <w:b/>
          <w:color w:val="auto"/>
          <w:sz w:val="20"/>
          <w:szCs w:val="20"/>
        </w:rPr>
        <w:t>www.comprasgovernamentais.gov.br</w:t>
      </w:r>
      <w:r>
        <w:rPr>
          <w:rStyle w:val="267"/>
          <w:rFonts w:ascii="Arial" w:hAnsi="Arial" w:cs="Arial"/>
          <w:b/>
          <w:color w:val="auto"/>
          <w:sz w:val="20"/>
          <w:szCs w:val="20"/>
        </w:rPr>
        <w:fldChar w:fldCharType="end"/>
      </w:r>
    </w:p>
    <w:p w14:paraId="7C116D94">
      <w:pPr>
        <w:rPr>
          <w:rStyle w:val="267"/>
          <w:rFonts w:ascii="Arial" w:hAnsi="Arial" w:cs="Arial"/>
          <w:b/>
          <w:color w:val="auto"/>
          <w:sz w:val="20"/>
          <w:szCs w:val="20"/>
        </w:rPr>
      </w:pPr>
    </w:p>
    <w:p w14:paraId="075834C5">
      <w:pPr>
        <w:spacing w:line="360" w:lineRule="auto"/>
        <w:ind w:firstLine="708"/>
        <w:jc w:val="both"/>
        <w:rPr>
          <w:rFonts w:hint="default" w:ascii="Arial" w:hAnsi="Arial" w:cs="Arial"/>
          <w:b w:val="0"/>
          <w:bCs w:val="0"/>
          <w:sz w:val="18"/>
          <w:szCs w:val="18"/>
        </w:rPr>
      </w:pPr>
      <w:r>
        <w:rPr>
          <w:rFonts w:hint="default" w:ascii="Arial" w:hAnsi="Arial" w:cs="Arial"/>
          <w:sz w:val="18"/>
          <w:szCs w:val="18"/>
        </w:rPr>
        <w:t xml:space="preserve">O </w:t>
      </w:r>
      <w:r>
        <w:rPr>
          <w:rFonts w:hint="default" w:ascii="Arial" w:hAnsi="Arial" w:cs="Arial"/>
          <w:b/>
          <w:sz w:val="18"/>
          <w:szCs w:val="18"/>
        </w:rPr>
        <w:t>MUNICÍPIO DE CATAGUASES</w:t>
      </w:r>
      <w:r>
        <w:rPr>
          <w:rFonts w:hint="default" w:ascii="Arial" w:hAnsi="Arial" w:cs="Arial"/>
          <w:sz w:val="18"/>
          <w:szCs w:val="18"/>
        </w:rPr>
        <w:t xml:space="preserve">, através da </w:t>
      </w:r>
      <w:r>
        <w:rPr>
          <w:rFonts w:hint="default" w:ascii="Arial" w:hAnsi="Arial" w:cs="Arial"/>
          <w:b/>
          <w:caps/>
          <w:sz w:val="18"/>
          <w:szCs w:val="18"/>
        </w:rPr>
        <w:t>Prefeitura Municipal de Cataguases</w:t>
      </w:r>
      <w:r>
        <w:rPr>
          <w:rFonts w:hint="default" w:ascii="Arial" w:hAnsi="Arial" w:cs="Arial"/>
          <w:sz w:val="18"/>
          <w:szCs w:val="18"/>
        </w:rPr>
        <w:t xml:space="preserve">, com endereço a Praça Santa Rita, 462 – Centro – Cataguases (MG), por intermédio de seu agente de contratação denominado Pregoeiro o Sr. Neimar Garcia de Oliveira, Pregoeira Substituta a Sra. Janete Aparecida Garcia e Equipe de Apoio, designados pela portaria nº 625/2023, torna público aos interessados a abertura do </w:t>
      </w:r>
      <w:r>
        <w:rPr>
          <w:rFonts w:hint="default" w:ascii="Arial" w:hAnsi="Arial" w:cs="Arial"/>
          <w:b/>
          <w:sz w:val="18"/>
          <w:szCs w:val="18"/>
        </w:rPr>
        <w:t xml:space="preserve">Processo Licitatório nº </w:t>
      </w:r>
      <w:r>
        <w:rPr>
          <w:rFonts w:hint="default" w:ascii="Arial" w:hAnsi="Arial" w:cs="Arial"/>
          <w:b/>
          <w:sz w:val="18"/>
          <w:szCs w:val="18"/>
          <w:lang w:val="pt-BR"/>
        </w:rPr>
        <w:t>065/2025</w:t>
      </w:r>
      <w:r>
        <w:rPr>
          <w:rFonts w:hint="default" w:ascii="Arial" w:hAnsi="Arial" w:cs="Arial"/>
          <w:sz w:val="18"/>
          <w:szCs w:val="18"/>
        </w:rPr>
        <w:t xml:space="preserve"> para Sistema de Registro de Preços n° </w:t>
      </w:r>
      <w:r>
        <w:rPr>
          <w:rFonts w:hint="default" w:ascii="Arial" w:hAnsi="Arial" w:cs="Arial"/>
          <w:sz w:val="18"/>
          <w:szCs w:val="18"/>
          <w:lang w:val="pt-BR"/>
        </w:rPr>
        <w:t>034/2025</w:t>
      </w:r>
      <w:r>
        <w:rPr>
          <w:rFonts w:hint="default" w:ascii="Arial" w:hAnsi="Arial" w:cs="Arial"/>
          <w:sz w:val="18"/>
          <w:szCs w:val="18"/>
        </w:rPr>
        <w:t xml:space="preserve">, na modalidade </w:t>
      </w:r>
      <w:r>
        <w:rPr>
          <w:rFonts w:hint="default" w:ascii="Arial" w:hAnsi="Arial" w:cs="Arial"/>
          <w:b/>
          <w:sz w:val="18"/>
          <w:szCs w:val="18"/>
        </w:rPr>
        <w:t xml:space="preserve">Pregão na forma ELETRÔNICA nº </w:t>
      </w:r>
      <w:r>
        <w:rPr>
          <w:rFonts w:hint="default" w:ascii="Arial" w:hAnsi="Arial" w:cs="Arial"/>
          <w:b/>
          <w:sz w:val="18"/>
          <w:szCs w:val="18"/>
          <w:lang w:val="pt-BR"/>
        </w:rPr>
        <w:t>036/2025</w:t>
      </w:r>
      <w:r>
        <w:rPr>
          <w:rFonts w:hint="default" w:ascii="Arial" w:hAnsi="Arial" w:cs="Arial"/>
          <w:b/>
          <w:sz w:val="18"/>
          <w:szCs w:val="18"/>
        </w:rPr>
        <w:t xml:space="preserve">, Tipo </w:t>
      </w:r>
      <w:r>
        <w:rPr>
          <w:rFonts w:hint="default" w:ascii="Arial" w:hAnsi="Arial" w:cs="Arial"/>
          <w:b/>
          <w:sz w:val="18"/>
          <w:szCs w:val="18"/>
          <w:lang w:val="pt-BR"/>
        </w:rPr>
        <w:t>maior desconto</w:t>
      </w:r>
      <w:r>
        <w:rPr>
          <w:rFonts w:hint="default" w:ascii="Arial" w:hAnsi="Arial" w:cs="Arial"/>
          <w:b/>
          <w:bCs w:val="0"/>
          <w:sz w:val="18"/>
          <w:szCs w:val="18"/>
        </w:rPr>
        <w:t xml:space="preserve">, com objeto de </w:t>
      </w:r>
      <w:r>
        <w:rPr>
          <w:rFonts w:hint="default" w:ascii="Arial" w:hAnsi="Arial" w:cs="Arial"/>
          <w:b/>
          <w:bCs w:val="0"/>
          <w:sz w:val="18"/>
          <w:szCs w:val="18"/>
          <w:lang w:val="pt-BR"/>
        </w:rPr>
        <w:t xml:space="preserve">registrar </w:t>
      </w:r>
      <w:r>
        <w:rPr>
          <w:rFonts w:hint="default" w:ascii="Arial" w:hAnsi="Arial" w:cs="Arial"/>
          <w:b/>
          <w:bCs w:val="0"/>
          <w:color w:val="000000"/>
          <w:sz w:val="18"/>
          <w:szCs w:val="18"/>
        </w:rPr>
        <w:t xml:space="preserve">preços para futura e eventual </w:t>
      </w:r>
      <w:r>
        <w:rPr>
          <w:rFonts w:hint="default" w:ascii="Arial" w:hAnsi="Arial" w:cs="Arial"/>
          <w:b/>
          <w:bCs w:val="0"/>
          <w:color w:val="000000"/>
          <w:sz w:val="18"/>
          <w:szCs w:val="18"/>
          <w:lang w:val="pt-BR"/>
        </w:rPr>
        <w:t>c</w:t>
      </w:r>
      <w:r>
        <w:rPr>
          <w:rFonts w:ascii="Arial" w:hAnsi="Arial" w:cs="Arial"/>
          <w:b/>
          <w:bCs w:val="0"/>
          <w:color w:val="000000"/>
          <w:sz w:val="18"/>
          <w:szCs w:val="18"/>
        </w:rPr>
        <w:t xml:space="preserve">ontratação de </w:t>
      </w:r>
      <w:r>
        <w:rPr>
          <w:rFonts w:ascii="Arial" w:hAnsi="Arial" w:cs="Arial"/>
          <w:b/>
          <w:bCs w:val="0"/>
          <w:sz w:val="18"/>
          <w:szCs w:val="18"/>
        </w:rPr>
        <w:t>empresa especializada em fornecimento de medicamentos de A à Z</w:t>
      </w:r>
      <w:r>
        <w:rPr>
          <w:rFonts w:hint="default" w:ascii="Arial" w:hAnsi="Arial" w:cs="Arial"/>
          <w:b/>
          <w:bCs w:val="0"/>
          <w:sz w:val="18"/>
          <w:szCs w:val="18"/>
          <w:lang w:val="pt-BR"/>
        </w:rPr>
        <w:t xml:space="preserve"> r</w:t>
      </w:r>
      <w:r>
        <w:rPr>
          <w:rFonts w:ascii="Arial" w:hAnsi="Arial" w:cs="Arial"/>
          <w:b/>
          <w:bCs w:val="0"/>
          <w:sz w:val="18"/>
          <w:szCs w:val="18"/>
        </w:rPr>
        <w:t>eferência</w:t>
      </w:r>
      <w:r>
        <w:rPr>
          <w:rFonts w:hint="default" w:ascii="Arial" w:hAnsi="Arial" w:cs="Arial"/>
          <w:b/>
          <w:bCs w:val="0"/>
          <w:sz w:val="18"/>
          <w:szCs w:val="18"/>
          <w:lang w:val="pt-BR"/>
        </w:rPr>
        <w:t xml:space="preserve"> (Éticos e Biológicos)</w:t>
      </w:r>
      <w:r>
        <w:rPr>
          <w:rFonts w:ascii="Arial" w:hAnsi="Arial" w:cs="Arial"/>
          <w:b/>
          <w:bCs w:val="0"/>
          <w:sz w:val="18"/>
          <w:szCs w:val="18"/>
        </w:rPr>
        <w:t>, contidos na tabela CMED/ANVISA</w:t>
      </w:r>
      <w:r>
        <w:rPr>
          <w:rFonts w:hint="default" w:ascii="Arial" w:hAnsi="Arial" w:cs="Arial"/>
          <w:b/>
          <w:bCs w:val="0"/>
          <w:sz w:val="18"/>
          <w:szCs w:val="18"/>
          <w:lang w:val="pt-BR"/>
        </w:rPr>
        <w:t xml:space="preserve"> no PMVG</w:t>
      </w:r>
      <w:r>
        <w:rPr>
          <w:rFonts w:ascii="Arial" w:hAnsi="Arial" w:cs="Arial"/>
          <w:b/>
          <w:bCs w:val="0"/>
          <w:sz w:val="18"/>
          <w:szCs w:val="18"/>
        </w:rPr>
        <w:t xml:space="preserve"> para atender às demandas da Secretaria Municipal de Saúde de Cataguases</w:t>
      </w:r>
      <w:r>
        <w:rPr>
          <w:rFonts w:hint="default" w:ascii="Arial" w:hAnsi="Arial" w:cs="Arial"/>
          <w:b/>
          <w:bCs w:val="0"/>
          <w:sz w:val="18"/>
          <w:szCs w:val="18"/>
          <w:lang w:val="pt-BR"/>
        </w:rPr>
        <w:t>-</w:t>
      </w:r>
      <w:r>
        <w:rPr>
          <w:rFonts w:ascii="Arial" w:hAnsi="Arial" w:cs="Arial"/>
          <w:b/>
          <w:bCs w:val="0"/>
          <w:sz w:val="18"/>
          <w:szCs w:val="18"/>
        </w:rPr>
        <w:t>MG</w:t>
      </w:r>
      <w:r>
        <w:rPr>
          <w:rFonts w:hint="default" w:ascii="Arial" w:hAnsi="Arial" w:cs="Arial"/>
          <w:b/>
          <w:bCs/>
          <w:color w:val="000000"/>
          <w:sz w:val="18"/>
          <w:szCs w:val="18"/>
        </w:rPr>
        <w:t xml:space="preserve">, </w:t>
      </w:r>
      <w:r>
        <w:rPr>
          <w:rFonts w:hint="default" w:ascii="Arial" w:hAnsi="Arial" w:cs="Arial"/>
          <w:b w:val="0"/>
          <w:bCs w:val="0"/>
          <w:sz w:val="18"/>
          <w:szCs w:val="18"/>
        </w:rPr>
        <w:t>nos</w:t>
      </w:r>
      <w:r>
        <w:rPr>
          <w:rFonts w:hint="default" w:ascii="Arial" w:hAnsi="Arial" w:cs="Arial"/>
          <w:sz w:val="18"/>
          <w:szCs w:val="18"/>
        </w:rPr>
        <w:t xml:space="preserve"> termos da Lei nº 14.133, de 1º de abril de 2021, Lei Municipal n° 4.946 de 2023, Decreto Municipal n° 5.805 de 2023</w:t>
      </w:r>
      <w:r>
        <w:rPr>
          <w:rFonts w:hint="default" w:ascii="Arial" w:hAnsi="Arial" w:cs="Arial"/>
          <w:b w:val="0"/>
          <w:bCs w:val="0"/>
          <w:sz w:val="18"/>
          <w:szCs w:val="18"/>
        </w:rPr>
        <w:t>, Lei 13.709 de 14 de agosto de 2018 (LGPD - Lei Geral de Proteção de Dados) e Lei 12.846 de 1º de agosto de 2013 (Lei Anticorrupção) e demais legislação aplicável e, ainda, de acordo com as condições estabelecidas neste presente Edital.</w:t>
      </w:r>
    </w:p>
    <w:p w14:paraId="1CDF63D6">
      <w:pPr>
        <w:jc w:val="both"/>
        <w:rPr>
          <w:rFonts w:hint="default" w:ascii="Arial" w:hAnsi="Arial" w:cs="Arial"/>
          <w:sz w:val="18"/>
          <w:szCs w:val="18"/>
        </w:rPr>
      </w:pPr>
    </w:p>
    <w:p w14:paraId="22A30E75">
      <w:pPr>
        <w:pStyle w:val="268"/>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1. DO OBJETO DO PREGÃO</w:t>
      </w:r>
    </w:p>
    <w:p w14:paraId="29F62C8D">
      <w:pPr>
        <w:pStyle w:val="268"/>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sz w:val="18"/>
          <w:szCs w:val="18"/>
          <w:lang w:eastAsia="ar-SA"/>
        </w:rPr>
      </w:pPr>
      <w:r>
        <w:rPr>
          <w:rFonts w:hint="default" w:ascii="Arial" w:hAnsi="Arial" w:cs="Arial"/>
          <w:sz w:val="18"/>
          <w:szCs w:val="18"/>
          <w:lang w:eastAsia="ar-SA"/>
        </w:rPr>
        <w:t xml:space="preserve">1.1. O objeto da presente licitação é </w:t>
      </w:r>
      <w:r>
        <w:rPr>
          <w:rFonts w:hint="default" w:ascii="Arial" w:hAnsi="Arial" w:cs="Arial"/>
          <w:sz w:val="18"/>
          <w:szCs w:val="18"/>
          <w:lang w:val="pt-PT" w:eastAsia="ar-SA"/>
        </w:rPr>
        <w:t xml:space="preserve">a escolha da proposta mais vantajosa para </w:t>
      </w:r>
      <w:r>
        <w:rPr>
          <w:rFonts w:hint="default" w:ascii="Arial" w:hAnsi="Arial" w:cs="Arial"/>
          <w:b/>
          <w:bCs w:val="0"/>
          <w:sz w:val="18"/>
          <w:szCs w:val="18"/>
          <w:lang w:val="pt-BR"/>
        </w:rPr>
        <w:t xml:space="preserve">registrar </w:t>
      </w:r>
      <w:r>
        <w:rPr>
          <w:rFonts w:hint="default" w:ascii="Arial" w:hAnsi="Arial" w:cs="Arial"/>
          <w:b/>
          <w:bCs w:val="0"/>
          <w:color w:val="000000"/>
          <w:sz w:val="18"/>
          <w:szCs w:val="18"/>
        </w:rPr>
        <w:t xml:space="preserve">preços para futura e eventual </w:t>
      </w:r>
      <w:r>
        <w:rPr>
          <w:rFonts w:hint="default" w:ascii="Arial" w:hAnsi="Arial" w:cs="Arial"/>
          <w:b/>
          <w:bCs w:val="0"/>
          <w:color w:val="000000"/>
          <w:sz w:val="18"/>
          <w:szCs w:val="18"/>
          <w:lang w:val="pt-BR"/>
        </w:rPr>
        <w:t>c</w:t>
      </w:r>
      <w:r>
        <w:rPr>
          <w:rFonts w:ascii="Arial" w:hAnsi="Arial" w:cs="Arial"/>
          <w:b/>
          <w:bCs w:val="0"/>
          <w:color w:val="000000"/>
          <w:sz w:val="18"/>
          <w:szCs w:val="18"/>
        </w:rPr>
        <w:t xml:space="preserve">ontratação de </w:t>
      </w:r>
      <w:r>
        <w:rPr>
          <w:rFonts w:ascii="Arial" w:hAnsi="Arial" w:cs="Arial"/>
          <w:b/>
          <w:bCs w:val="0"/>
          <w:sz w:val="18"/>
          <w:szCs w:val="18"/>
        </w:rPr>
        <w:t>empresa especializada em fornecimento de medicamentos de A à Z</w:t>
      </w:r>
      <w:r>
        <w:rPr>
          <w:rFonts w:hint="default" w:ascii="Arial" w:hAnsi="Arial" w:cs="Arial"/>
          <w:b/>
          <w:bCs w:val="0"/>
          <w:sz w:val="18"/>
          <w:szCs w:val="18"/>
          <w:lang w:val="pt-BR"/>
        </w:rPr>
        <w:t xml:space="preserve"> r</w:t>
      </w:r>
      <w:r>
        <w:rPr>
          <w:rFonts w:ascii="Arial" w:hAnsi="Arial" w:cs="Arial"/>
          <w:b/>
          <w:bCs w:val="0"/>
          <w:sz w:val="18"/>
          <w:szCs w:val="18"/>
        </w:rPr>
        <w:t>eferência</w:t>
      </w:r>
      <w:r>
        <w:rPr>
          <w:rFonts w:hint="default" w:ascii="Arial" w:hAnsi="Arial" w:cs="Arial"/>
          <w:b/>
          <w:bCs w:val="0"/>
          <w:sz w:val="18"/>
          <w:szCs w:val="18"/>
          <w:lang w:val="pt-BR"/>
        </w:rPr>
        <w:t xml:space="preserve"> (Éticos e Biológicos)</w:t>
      </w:r>
      <w:r>
        <w:rPr>
          <w:rFonts w:ascii="Arial" w:hAnsi="Arial" w:cs="Arial"/>
          <w:b/>
          <w:bCs w:val="0"/>
          <w:sz w:val="18"/>
          <w:szCs w:val="18"/>
        </w:rPr>
        <w:t>, contidos na tabela CMED/ANVISA</w:t>
      </w:r>
      <w:r>
        <w:rPr>
          <w:rFonts w:hint="default" w:ascii="Arial" w:hAnsi="Arial" w:cs="Arial"/>
          <w:b/>
          <w:bCs w:val="0"/>
          <w:sz w:val="18"/>
          <w:szCs w:val="18"/>
          <w:lang w:val="pt-BR"/>
        </w:rPr>
        <w:t xml:space="preserve"> no PMVG</w:t>
      </w:r>
      <w:r>
        <w:rPr>
          <w:rFonts w:ascii="Arial" w:hAnsi="Arial" w:cs="Arial"/>
          <w:b/>
          <w:bCs w:val="0"/>
          <w:sz w:val="18"/>
          <w:szCs w:val="18"/>
        </w:rPr>
        <w:t xml:space="preserve"> para atender às demandas da Secretaria Municipal de Saúde de Cataguases</w:t>
      </w:r>
      <w:r>
        <w:rPr>
          <w:rFonts w:hint="default" w:ascii="Arial" w:hAnsi="Arial" w:cs="Arial"/>
          <w:b/>
          <w:bCs w:val="0"/>
          <w:sz w:val="18"/>
          <w:szCs w:val="18"/>
          <w:lang w:val="pt-BR"/>
        </w:rPr>
        <w:t>-</w:t>
      </w:r>
      <w:r>
        <w:rPr>
          <w:rFonts w:ascii="Arial" w:hAnsi="Arial" w:cs="Arial"/>
          <w:b/>
          <w:bCs w:val="0"/>
          <w:sz w:val="18"/>
          <w:szCs w:val="18"/>
        </w:rPr>
        <w:t>MG</w:t>
      </w:r>
      <w:r>
        <w:rPr>
          <w:rFonts w:hint="default" w:ascii="Arial" w:hAnsi="Arial" w:cs="Arial"/>
          <w:b/>
          <w:sz w:val="18"/>
          <w:szCs w:val="18"/>
        </w:rPr>
        <w:t>,</w:t>
      </w:r>
      <w:r>
        <w:rPr>
          <w:rFonts w:hint="default" w:ascii="Arial" w:hAnsi="Arial" w:cs="Arial"/>
          <w:sz w:val="18"/>
          <w:szCs w:val="18"/>
          <w:lang w:val="pt-PT" w:eastAsia="ar-SA"/>
        </w:rPr>
        <w:t xml:space="preserve"> conforme </w:t>
      </w:r>
      <w:r>
        <w:rPr>
          <w:rFonts w:hint="default" w:ascii="Arial" w:hAnsi="Arial" w:cs="Arial"/>
          <w:sz w:val="18"/>
          <w:szCs w:val="18"/>
          <w:lang w:eastAsia="ar-SA"/>
        </w:rPr>
        <w:t>especificado no Termo de Referência e demais anexos, que fazem parte deste Edital independentemente de transcrição.</w:t>
      </w:r>
    </w:p>
    <w:p w14:paraId="08B2FDB0">
      <w:pPr>
        <w:pStyle w:val="223"/>
        <w:spacing w:line="360" w:lineRule="auto"/>
        <w:jc w:val="both"/>
        <w:rPr>
          <w:rFonts w:hint="default" w:ascii="Arial" w:hAnsi="Arial" w:cs="Arial"/>
          <w:sz w:val="18"/>
          <w:szCs w:val="18"/>
        </w:rPr>
      </w:pPr>
      <w:r>
        <w:rPr>
          <w:rFonts w:hint="default" w:ascii="Arial" w:hAnsi="Arial" w:cs="Arial"/>
          <w:sz w:val="18"/>
          <w:szCs w:val="18"/>
        </w:rPr>
        <w:t xml:space="preserve">1.2. A licitação será </w:t>
      </w:r>
      <w:r>
        <w:rPr>
          <w:rFonts w:hint="default" w:ascii="Arial" w:hAnsi="Arial" w:cs="Arial"/>
          <w:sz w:val="18"/>
          <w:szCs w:val="18"/>
          <w:lang w:val="pt-BR"/>
        </w:rPr>
        <w:t>por item</w:t>
      </w:r>
      <w:r>
        <w:rPr>
          <w:rFonts w:hint="default" w:ascii="Arial" w:hAnsi="Arial" w:cs="Arial"/>
          <w:sz w:val="18"/>
          <w:szCs w:val="18"/>
        </w:rPr>
        <w:t>, conforme tabela constante do Termo de Referência, facultando-se ao licitante a participação em quantos itens forem de seu interesse, quando houver mais de um.</w:t>
      </w:r>
    </w:p>
    <w:p w14:paraId="48A83A6B">
      <w:pPr>
        <w:pStyle w:val="268"/>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color w:val="FF0000"/>
          <w:sz w:val="18"/>
          <w:szCs w:val="18"/>
        </w:rPr>
      </w:pPr>
      <w:r>
        <w:rPr>
          <w:rFonts w:hint="default" w:ascii="Arial" w:hAnsi="Arial" w:cs="Arial"/>
          <w:sz w:val="18"/>
          <w:szCs w:val="18"/>
        </w:rPr>
        <w:t xml:space="preserve">1.3. </w:t>
      </w:r>
      <w:r>
        <w:rPr>
          <w:rFonts w:hint="default" w:ascii="Arial" w:hAnsi="Arial" w:cs="Arial"/>
          <w:sz w:val="18"/>
          <w:szCs w:val="18"/>
          <w:u w:val="single"/>
        </w:rPr>
        <w:t>O critério de julgamento adotado será o</w:t>
      </w:r>
      <w:r>
        <w:rPr>
          <w:rFonts w:hint="default" w:ascii="Arial" w:hAnsi="Arial" w:cs="Arial"/>
          <w:sz w:val="18"/>
          <w:szCs w:val="18"/>
          <w:u w:val="single"/>
          <w:lang w:val="pt-BR"/>
        </w:rPr>
        <w:t xml:space="preserve"> de m</w:t>
      </w:r>
      <w:r>
        <w:rPr>
          <w:rFonts w:ascii="Arial" w:hAnsi="Arial" w:cs="Arial"/>
          <w:color w:val="000000"/>
          <w:sz w:val="18"/>
          <w:szCs w:val="18"/>
          <w:u w:val="single"/>
          <w:lang w:val="pt-BR"/>
        </w:rPr>
        <w:t>aior desconto</w:t>
      </w:r>
      <w:r>
        <w:rPr>
          <w:rFonts w:hint="default" w:ascii="Arial" w:hAnsi="Arial" w:cs="Arial"/>
          <w:color w:val="000000"/>
          <w:sz w:val="18"/>
          <w:szCs w:val="18"/>
          <w:u w:val="single"/>
          <w:lang w:val="pt-BR"/>
        </w:rPr>
        <w:t xml:space="preserve"> por item sobre a Tabela CMED/Anvisa no PMVG (Preço máximo de venda ao governo)</w:t>
      </w:r>
      <w:r>
        <w:rPr>
          <w:rFonts w:hint="default" w:ascii="Arial" w:hAnsi="Arial" w:cs="Arial"/>
          <w:sz w:val="18"/>
          <w:szCs w:val="18"/>
        </w:rPr>
        <w:t>, observadas as exigências contidas neste Edital e seus Anexos quanto às especificações do objeto.</w:t>
      </w:r>
    </w:p>
    <w:p w14:paraId="5A1737B7">
      <w:pPr>
        <w:pStyle w:val="269"/>
        <w:tabs>
          <w:tab w:val="left" w:pos="-4300"/>
        </w:tabs>
        <w:spacing w:line="360" w:lineRule="auto"/>
        <w:ind w:left="0" w:firstLine="0"/>
        <w:rPr>
          <w:rFonts w:hint="default" w:ascii="Arial" w:hAnsi="Arial" w:cs="Arial"/>
          <w:sz w:val="18"/>
          <w:szCs w:val="18"/>
          <w:u w:val="single"/>
        </w:rPr>
      </w:pPr>
      <w:r>
        <w:rPr>
          <w:rFonts w:hint="default" w:ascii="Arial" w:hAnsi="Arial" w:cs="Arial"/>
          <w:sz w:val="18"/>
          <w:szCs w:val="18"/>
          <w:lang w:eastAsia="ar-SA"/>
        </w:rPr>
        <w:t xml:space="preserve">1.4. </w:t>
      </w:r>
      <w:r>
        <w:rPr>
          <w:rFonts w:hint="default" w:ascii="Arial" w:hAnsi="Arial" w:cs="Arial"/>
          <w:sz w:val="18"/>
          <w:szCs w:val="18"/>
          <w:u w:val="single"/>
          <w:lang w:eastAsia="ar-SA"/>
        </w:rPr>
        <w:t>A descrição complementar dos itens constantes da Relação de Itens encontra-se no anexo I do Termo de Referência e anexo II modelo de proposta.</w:t>
      </w:r>
    </w:p>
    <w:p w14:paraId="72E18FB7">
      <w:pPr>
        <w:spacing w:line="360" w:lineRule="auto"/>
        <w:jc w:val="both"/>
        <w:rPr>
          <w:rFonts w:hint="default" w:ascii="Arial" w:hAnsi="Arial" w:cs="Arial"/>
          <w:sz w:val="18"/>
          <w:szCs w:val="18"/>
        </w:rPr>
      </w:pPr>
      <w:r>
        <w:rPr>
          <w:rFonts w:hint="default" w:ascii="Arial" w:hAnsi="Arial" w:cs="Arial"/>
          <w:sz w:val="18"/>
          <w:szCs w:val="18"/>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Cataguases.</w:t>
      </w:r>
    </w:p>
    <w:p w14:paraId="5A9EC4F0">
      <w:pPr>
        <w:jc w:val="both"/>
        <w:rPr>
          <w:rFonts w:hint="default" w:ascii="Arial" w:hAnsi="Arial" w:eastAsia="Arial" w:cs="Arial"/>
          <w:sz w:val="18"/>
          <w:szCs w:val="18"/>
        </w:rPr>
      </w:pPr>
    </w:p>
    <w:p w14:paraId="7769DCF0">
      <w:pPr>
        <w:pStyle w:val="14"/>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hint="default" w:ascii="Arial" w:hAnsi="Arial" w:cs="Arial"/>
          <w:b w:val="0"/>
          <w:sz w:val="18"/>
          <w:szCs w:val="18"/>
        </w:rPr>
      </w:pPr>
      <w:r>
        <w:rPr>
          <w:rFonts w:hint="default" w:ascii="Arial" w:hAnsi="Arial" w:cs="Arial"/>
          <w:sz w:val="18"/>
          <w:szCs w:val="18"/>
          <w:lang w:eastAsia="ar-SA"/>
        </w:rPr>
        <w:t>2. DA DOTAÇÃO ORÇAMENTÁRIA E ÓRGÃO GERENCIADOR</w:t>
      </w:r>
    </w:p>
    <w:p w14:paraId="0B0D67A6">
      <w:pPr>
        <w:spacing w:line="360" w:lineRule="auto"/>
        <w:jc w:val="both"/>
        <w:rPr>
          <w:rFonts w:hint="default" w:ascii="Arial" w:hAnsi="Arial" w:cs="Arial"/>
          <w:sz w:val="18"/>
          <w:szCs w:val="18"/>
          <w:lang w:eastAsia="ar-SA"/>
        </w:rPr>
      </w:pPr>
      <w:r>
        <w:rPr>
          <w:rFonts w:hint="default" w:ascii="Arial" w:hAnsi="Arial" w:cs="Arial"/>
          <w:sz w:val="18"/>
          <w:szCs w:val="18"/>
          <w:lang w:eastAsia="ar-SA"/>
        </w:rPr>
        <w:t xml:space="preserve">2.1. </w:t>
      </w:r>
      <w:r>
        <w:rPr>
          <w:rFonts w:hint="default" w:ascii="Arial" w:hAnsi="Arial" w:cs="Arial"/>
          <w:sz w:val="18"/>
          <w:szCs w:val="18"/>
        </w:rPr>
        <w:t xml:space="preserve">O órgão gerenciador será a Prefeitura Municipal de Cataguases – UASG </w:t>
      </w:r>
      <w:r>
        <w:rPr>
          <w:rFonts w:hint="default" w:ascii="Arial" w:hAnsi="Arial" w:cs="Arial"/>
          <w:color w:val="000000"/>
          <w:sz w:val="18"/>
          <w:szCs w:val="18"/>
        </w:rPr>
        <w:t>984305</w:t>
      </w:r>
    </w:p>
    <w:p w14:paraId="6FB041A7">
      <w:pPr>
        <w:pageBreakBefore w:val="0"/>
        <w:widowControl/>
        <w:kinsoku/>
        <w:wordWrap/>
        <w:overflowPunct/>
        <w:topLinePunct w:val="0"/>
        <w:autoSpaceDE/>
        <w:autoSpaceDN/>
        <w:bidi w:val="0"/>
        <w:adjustRightInd/>
        <w:snapToGrid/>
        <w:spacing w:line="360" w:lineRule="auto"/>
        <w:ind w:left="0" w:leftChars="0" w:firstLine="0" w:firstLineChars="0"/>
        <w:jc w:val="both"/>
        <w:textAlignment w:val="auto"/>
        <w:rPr>
          <w:rFonts w:hint="default" w:ascii="Arial" w:hAnsi="Arial" w:cs="Arial"/>
          <w:color w:val="000000" w:themeColor="text1"/>
          <w:sz w:val="18"/>
          <w:szCs w:val="18"/>
          <w14:textFill>
            <w14:solidFill>
              <w14:schemeClr w14:val="tx1"/>
            </w14:solidFill>
          </w14:textFill>
        </w:rPr>
      </w:pPr>
      <w:r>
        <w:rPr>
          <w:rFonts w:hint="default" w:ascii="Arial" w:hAnsi="Arial" w:cs="Arial"/>
          <w:sz w:val="18"/>
          <w:szCs w:val="18"/>
          <w:lang w:eastAsia="ar-SA"/>
        </w:rPr>
        <w:t xml:space="preserve">2.2 Os recursos do </w:t>
      </w:r>
      <w:r>
        <w:rPr>
          <w:rFonts w:hint="default" w:ascii="Arial" w:hAnsi="Arial" w:cs="Arial"/>
          <w:bCs/>
          <w:sz w:val="18"/>
          <w:szCs w:val="18"/>
          <w:lang w:eastAsia="ar-SA"/>
        </w:rPr>
        <w:t>Órgão Gerenciador</w:t>
      </w:r>
      <w:r>
        <w:rPr>
          <w:rFonts w:hint="default" w:ascii="Arial" w:hAnsi="Arial" w:cs="Arial"/>
          <w:sz w:val="18"/>
          <w:szCs w:val="18"/>
          <w:lang w:eastAsia="ar-SA"/>
        </w:rPr>
        <w:t xml:space="preserve"> para cobrir as despesas decorrentes da </w:t>
      </w:r>
      <w:r>
        <w:rPr>
          <w:rFonts w:hint="default" w:ascii="Arial" w:hAnsi="Arial" w:cs="Arial"/>
          <w:color w:val="000000" w:themeColor="text1"/>
          <w:sz w:val="18"/>
          <w:szCs w:val="18"/>
          <w:lang w:eastAsia="ar-SA"/>
          <w14:textFill>
            <w14:solidFill>
              <w14:schemeClr w14:val="tx1"/>
            </w14:solidFill>
          </w14:textFill>
        </w:rPr>
        <w:t xml:space="preserve">aquisição objeto desta licitação </w:t>
      </w:r>
      <w:r>
        <w:rPr>
          <w:rFonts w:hint="default" w:ascii="Arial" w:hAnsi="Arial" w:cs="Arial"/>
          <w:color w:val="000000" w:themeColor="text1"/>
          <w:sz w:val="18"/>
          <w:szCs w:val="18"/>
          <w14:textFill>
            <w14:solidFill>
              <w14:schemeClr w14:val="tx1"/>
            </w14:solidFill>
          </w14:textFill>
        </w:rPr>
        <w:t>correrão à conta da dotação orçamentária a ser definida por cada secretaria responsável:</w:t>
      </w:r>
    </w:p>
    <w:p w14:paraId="70D78B23">
      <w:pPr>
        <w:pStyle w:val="278"/>
        <w:pageBreakBefore w:val="0"/>
        <w:widowControl/>
        <w:numPr>
          <w:ilvl w:val="0"/>
          <w:numId w:val="0"/>
        </w:numPr>
        <w:kinsoku/>
        <w:wordWrap/>
        <w:overflowPunct/>
        <w:topLinePunct w:val="0"/>
        <w:autoSpaceDE/>
        <w:autoSpaceDN/>
        <w:bidi w:val="0"/>
        <w:adjustRightInd/>
        <w:snapToGrid/>
        <w:spacing w:before="0" w:line="360" w:lineRule="auto"/>
        <w:ind w:left="0" w:leftChars="0" w:firstLine="0" w:firstLineChars="0"/>
        <w:textAlignment w:val="auto"/>
        <w:rPr>
          <w:rFonts w:hint="default" w:ascii="Arial" w:hAnsi="Arial" w:cs="Arial"/>
          <w:sz w:val="18"/>
          <w:szCs w:val="18"/>
        </w:rPr>
      </w:pPr>
      <w:r>
        <w:rPr>
          <w:rFonts w:hint="default" w:ascii="Arial" w:hAnsi="Arial" w:cs="Arial"/>
          <w:sz w:val="18"/>
          <w:szCs w:val="18"/>
        </w:rPr>
        <w:t>CENTROS DE CUSTOS</w:t>
      </w:r>
      <w:r>
        <w:rPr>
          <w:rFonts w:hint="default" w:ascii="Arial" w:hAnsi="Arial" w:cs="Arial"/>
          <w:sz w:val="18"/>
          <w:szCs w:val="18"/>
          <w:lang w:val="pt-BR"/>
        </w:rPr>
        <w:t xml:space="preserve"> </w:t>
      </w:r>
      <w:r>
        <w:rPr>
          <w:rFonts w:hint="default" w:ascii="Arial" w:hAnsi="Arial" w:cs="Arial"/>
          <w:sz w:val="18"/>
          <w:szCs w:val="18"/>
        </w:rPr>
        <w:t>02.</w:t>
      </w:r>
      <w:r>
        <w:rPr>
          <w:rFonts w:hint="default" w:ascii="Arial" w:hAnsi="Arial" w:cs="Arial"/>
          <w:sz w:val="18"/>
          <w:szCs w:val="18"/>
          <w:lang w:val="pt-BR"/>
        </w:rPr>
        <w:t>0</w:t>
      </w:r>
      <w:r>
        <w:rPr>
          <w:rFonts w:hint="default" w:ascii="Arial" w:hAnsi="Arial" w:cs="Arial"/>
          <w:sz w:val="18"/>
          <w:szCs w:val="18"/>
        </w:rPr>
        <w:t xml:space="preserve">08 – Secretaria de Saúde </w:t>
      </w:r>
    </w:p>
    <w:p w14:paraId="69C6DEE5">
      <w:pPr>
        <w:pageBreakBefore w:val="0"/>
        <w:widowControl/>
        <w:kinsoku/>
        <w:wordWrap/>
        <w:overflowPunct/>
        <w:topLinePunct w:val="0"/>
        <w:autoSpaceDE/>
        <w:autoSpaceDN/>
        <w:bidi w:val="0"/>
        <w:adjustRightInd/>
        <w:snapToGrid/>
        <w:spacing w:after="0" w:line="360" w:lineRule="auto"/>
        <w:ind w:left="0" w:leftChars="0" w:firstLine="0" w:firstLineChars="0"/>
        <w:jc w:val="both"/>
        <w:textAlignment w:val="auto"/>
        <w:rPr>
          <w:rFonts w:hint="default" w:ascii="Arial" w:hAnsi="Arial" w:cs="Arial"/>
          <w:sz w:val="18"/>
          <w:szCs w:val="18"/>
        </w:rPr>
      </w:pPr>
      <w:r>
        <w:rPr>
          <w:rFonts w:hint="default" w:ascii="Arial" w:hAnsi="Arial" w:cs="Arial"/>
          <w:sz w:val="18"/>
          <w:szCs w:val="18"/>
        </w:rPr>
        <w:t xml:space="preserve">10.122.0000.0.008 – Cumprimento de Sentenças Judiciais na Área da Saúde. </w:t>
      </w:r>
    </w:p>
    <w:p w14:paraId="715E35FC">
      <w:pPr>
        <w:pageBreakBefore w:val="0"/>
        <w:widowControl/>
        <w:kinsoku/>
        <w:wordWrap/>
        <w:overflowPunct/>
        <w:topLinePunct w:val="0"/>
        <w:autoSpaceDE/>
        <w:autoSpaceDN/>
        <w:bidi w:val="0"/>
        <w:adjustRightInd/>
        <w:snapToGrid/>
        <w:spacing w:after="0" w:line="360" w:lineRule="auto"/>
        <w:ind w:left="0" w:leftChars="0" w:firstLine="0" w:firstLineChars="0"/>
        <w:jc w:val="both"/>
        <w:textAlignment w:val="auto"/>
        <w:rPr>
          <w:rFonts w:hint="default" w:ascii="Arial" w:hAnsi="Arial" w:cs="Arial"/>
          <w:sz w:val="18"/>
          <w:szCs w:val="18"/>
        </w:rPr>
      </w:pPr>
      <w:r>
        <w:rPr>
          <w:rFonts w:hint="default" w:ascii="Arial" w:hAnsi="Arial" w:cs="Arial"/>
          <w:sz w:val="18"/>
          <w:szCs w:val="18"/>
        </w:rPr>
        <w:t>3.3.90.91.00.00.00.00 – Sentenças Judiciais (Ficha 324)</w:t>
      </w:r>
    </w:p>
    <w:p w14:paraId="70BB5396">
      <w:pPr>
        <w:pageBreakBefore w:val="0"/>
        <w:widowControl/>
        <w:kinsoku/>
        <w:wordWrap/>
        <w:overflowPunct/>
        <w:topLinePunct w:val="0"/>
        <w:autoSpaceDE/>
        <w:autoSpaceDN/>
        <w:bidi w:val="0"/>
        <w:adjustRightInd/>
        <w:snapToGrid/>
        <w:spacing w:after="0" w:line="360" w:lineRule="auto"/>
        <w:ind w:left="0" w:leftChars="0" w:firstLine="0" w:firstLineChars="0"/>
        <w:jc w:val="both"/>
        <w:textAlignment w:val="auto"/>
        <w:rPr>
          <w:rFonts w:hint="default" w:ascii="Arial" w:hAnsi="Arial" w:cs="Arial"/>
          <w:sz w:val="18"/>
          <w:szCs w:val="18"/>
          <w:lang w:val="pt-BR"/>
        </w:rPr>
      </w:pPr>
      <w:r>
        <w:rPr>
          <w:rFonts w:hint="default" w:ascii="Arial" w:hAnsi="Arial" w:cs="Arial"/>
          <w:sz w:val="18"/>
          <w:szCs w:val="18"/>
          <w:lang w:val="pt-BR"/>
        </w:rPr>
        <w:t>1.500.000.1002.000 - Recursos não vinculados de impostos</w:t>
      </w:r>
    </w:p>
    <w:p w14:paraId="4D99771D">
      <w:pPr>
        <w:jc w:val="both"/>
        <w:rPr>
          <w:rFonts w:hint="default" w:ascii="Arial" w:hAnsi="Arial" w:cs="Arial"/>
          <w:b/>
          <w:sz w:val="18"/>
          <w:szCs w:val="18"/>
          <w:lang w:eastAsia="ar-SA"/>
        </w:rPr>
      </w:pPr>
    </w:p>
    <w:p w14:paraId="66E93B6B">
      <w:pPr>
        <w:jc w:val="both"/>
        <w:rPr>
          <w:rFonts w:hint="default" w:ascii="Arial" w:hAnsi="Arial" w:cs="Arial"/>
          <w:b/>
          <w:sz w:val="18"/>
          <w:szCs w:val="18"/>
          <w:lang w:eastAsia="ar-SA"/>
        </w:rPr>
      </w:pPr>
    </w:p>
    <w:p w14:paraId="31BD55DB">
      <w:pPr>
        <w:jc w:val="both"/>
        <w:rPr>
          <w:rFonts w:hint="default" w:ascii="Arial" w:hAnsi="Arial" w:cs="Arial"/>
          <w:b/>
          <w:sz w:val="18"/>
          <w:szCs w:val="18"/>
          <w:lang w:eastAsia="ar-SA"/>
        </w:rPr>
      </w:pPr>
    </w:p>
    <w:p w14:paraId="7C179EC2">
      <w:pPr>
        <w:spacing w:line="360" w:lineRule="auto"/>
        <w:jc w:val="both"/>
        <w:rPr>
          <w:rFonts w:hint="default" w:ascii="Arial" w:hAnsi="Arial" w:cs="Arial"/>
          <w:b/>
          <w:sz w:val="18"/>
          <w:szCs w:val="18"/>
          <w:lang w:eastAsia="ar-SA"/>
        </w:rPr>
      </w:pPr>
      <w:r>
        <w:rPr>
          <w:rFonts w:hint="default" w:ascii="Arial" w:hAnsi="Arial" w:cs="Arial"/>
          <w:b/>
          <w:sz w:val="18"/>
          <w:szCs w:val="18"/>
          <w:lang w:eastAsia="ar-SA"/>
        </w:rPr>
        <w:t>3. DA PARTICIPAÇÃO NA LICITAÇÃO</w:t>
      </w:r>
      <w:bookmarkStart w:id="0" w:name="_Hlk135302270"/>
    </w:p>
    <w:p w14:paraId="2EC75337">
      <w:pPr>
        <w:spacing w:line="360" w:lineRule="auto"/>
        <w:jc w:val="both"/>
        <w:rPr>
          <w:rFonts w:hint="default" w:ascii="Arial" w:hAnsi="Arial" w:cs="Arial"/>
          <w:b/>
          <w:sz w:val="18"/>
          <w:szCs w:val="18"/>
        </w:rPr>
      </w:pPr>
      <w:r>
        <w:rPr>
          <w:rFonts w:hint="default" w:ascii="Arial" w:hAnsi="Arial" w:cs="Arial"/>
          <w:sz w:val="18"/>
          <w:szCs w:val="18"/>
        </w:rPr>
        <w:t xml:space="preserve">3.1 </w:t>
      </w:r>
      <w:bookmarkEnd w:id="0"/>
      <w:r>
        <w:rPr>
          <w:rFonts w:hint="default" w:ascii="Arial" w:hAnsi="Arial" w:cs="Arial"/>
          <w:sz w:val="18"/>
          <w:szCs w:val="18"/>
        </w:rPr>
        <w:t>Poderão participar deste Pregão os interessados que estiverem previamente credenciados no Sistema de Cadastramento Unificado de Fornecedores - SICAF e no Sistema de Compras do Governo Federal (</w:t>
      </w:r>
      <w:r>
        <w:rPr>
          <w:rFonts w:hint="default" w:ascii="Arial" w:hAnsi="Arial" w:cs="Arial"/>
          <w:sz w:val="18"/>
          <w:szCs w:val="18"/>
        </w:rPr>
        <w:fldChar w:fldCharType="begin"/>
      </w:r>
      <w:r>
        <w:rPr>
          <w:rFonts w:hint="default" w:ascii="Arial" w:hAnsi="Arial" w:cs="Arial"/>
          <w:sz w:val="18"/>
          <w:szCs w:val="18"/>
        </w:rPr>
        <w:instrText xml:space="preserve"> HYPERLINK "http://www.gov.br/compras" </w:instrText>
      </w:r>
      <w:r>
        <w:rPr>
          <w:rFonts w:hint="default" w:ascii="Arial" w:hAnsi="Arial" w:cs="Arial"/>
          <w:sz w:val="18"/>
          <w:szCs w:val="18"/>
        </w:rPr>
        <w:fldChar w:fldCharType="separate"/>
      </w:r>
      <w:r>
        <w:rPr>
          <w:rStyle w:val="324"/>
          <w:rFonts w:hint="default" w:ascii="Arial" w:hAnsi="Arial" w:eastAsia="Arial" w:cs="Arial"/>
          <w:sz w:val="18"/>
          <w:szCs w:val="18"/>
        </w:rPr>
        <w:t>www.gov.br/compras</w:t>
      </w:r>
      <w:r>
        <w:rPr>
          <w:rStyle w:val="324"/>
          <w:rFonts w:hint="default" w:ascii="Arial" w:hAnsi="Arial" w:eastAsia="Arial" w:cs="Arial"/>
          <w:sz w:val="18"/>
          <w:szCs w:val="18"/>
        </w:rPr>
        <w:fldChar w:fldCharType="end"/>
      </w:r>
      <w:r>
        <w:rPr>
          <w:rFonts w:hint="default" w:ascii="Arial" w:hAnsi="Arial" w:cs="Arial"/>
          <w:sz w:val="18"/>
          <w:szCs w:val="18"/>
        </w:rPr>
        <w:t>).</w:t>
      </w:r>
    </w:p>
    <w:p w14:paraId="3EE44B25">
      <w:pPr>
        <w:pStyle w:val="303"/>
        <w:spacing w:before="0" w:after="0" w:line="360" w:lineRule="auto"/>
        <w:rPr>
          <w:rFonts w:hint="default" w:ascii="Arial" w:hAnsi="Arial" w:cs="Arial"/>
          <w:sz w:val="18"/>
          <w:szCs w:val="18"/>
        </w:rPr>
      </w:pPr>
      <w:r>
        <w:rPr>
          <w:rFonts w:hint="default" w:ascii="Arial" w:hAnsi="Arial" w:cs="Arial"/>
          <w:sz w:val="18"/>
          <w:szCs w:val="18"/>
        </w:rPr>
        <w:t>3.1.1 O</w:t>
      </w:r>
      <w:bookmarkStart w:id="1" w:name="_Hlk135304247"/>
      <w:r>
        <w:rPr>
          <w:rFonts w:hint="default" w:ascii="Arial" w:hAnsi="Arial" w:cs="Arial"/>
          <w:sz w:val="18"/>
          <w:szCs w:val="18"/>
        </w:rPr>
        <w:t>s interessados deverão atender às condições exigidas no cadastramento no Sicaf até o terceiro dia útil anterior à data prevista para recebimento das propostas.</w:t>
      </w:r>
      <w:bookmarkEnd w:id="1"/>
    </w:p>
    <w:p w14:paraId="39DEBA3A">
      <w:pPr>
        <w:pStyle w:val="303"/>
        <w:spacing w:before="0" w:after="0" w:line="360" w:lineRule="auto"/>
        <w:rPr>
          <w:rFonts w:hint="default" w:ascii="Arial" w:hAnsi="Arial" w:cs="Arial"/>
          <w:sz w:val="18"/>
          <w:szCs w:val="18"/>
        </w:rPr>
      </w:pPr>
      <w:r>
        <w:rPr>
          <w:rFonts w:hint="default" w:ascii="Arial" w:hAnsi="Arial" w:cs="Arial"/>
          <w:sz w:val="18"/>
          <w:szCs w:val="18"/>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83F4C46">
      <w:pPr>
        <w:pStyle w:val="303"/>
        <w:spacing w:before="0" w:after="0" w:line="360" w:lineRule="auto"/>
        <w:rPr>
          <w:rFonts w:hint="default" w:ascii="Arial" w:hAnsi="Arial" w:cs="Arial"/>
          <w:sz w:val="18"/>
          <w:szCs w:val="18"/>
        </w:rPr>
      </w:pPr>
      <w:r>
        <w:rPr>
          <w:rFonts w:hint="default" w:ascii="Arial" w:hAnsi="Arial" w:cs="Arial"/>
          <w:sz w:val="18"/>
          <w:szCs w:val="18"/>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08FE167">
      <w:pPr>
        <w:pStyle w:val="303"/>
        <w:spacing w:before="0" w:after="0" w:line="360" w:lineRule="auto"/>
        <w:rPr>
          <w:rFonts w:hint="default" w:ascii="Arial" w:hAnsi="Arial" w:cs="Arial"/>
          <w:sz w:val="18"/>
          <w:szCs w:val="18"/>
        </w:rPr>
      </w:pPr>
      <w:r>
        <w:rPr>
          <w:rFonts w:hint="default" w:ascii="Arial" w:hAnsi="Arial" w:cs="Arial"/>
          <w:sz w:val="18"/>
          <w:szCs w:val="18"/>
        </w:rPr>
        <w:t>3.4 A não observância do disposto no item anterior poderá ensejar desclassificação no momento da habilitação.</w:t>
      </w:r>
    </w:p>
    <w:p w14:paraId="0D277502">
      <w:pPr>
        <w:pStyle w:val="270"/>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3.5. O credenciamento junto ao provedor do sistema implica na responsabilidade legal do licitante ou de seu representante legal e na presunção de sua capacidade técnica para realização das transações inerentes ao pregão eletrônico.</w:t>
      </w:r>
    </w:p>
    <w:p w14:paraId="4478136C">
      <w:pPr>
        <w:pStyle w:val="270"/>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3.6. O uso da senha de acesso pelo licitante é de sua responsabilidade exclusiva, incluindo qualquer transação efetuada diretamente ou por seu representante, não cabendo ao provedor do sistema ou à Prefeitura Municipal de Cataguases, promotora da licitação, responsabilidade por eventuais danos decorrentes do uso indevido da senha, ainda que por terceiros.</w:t>
      </w:r>
    </w:p>
    <w:p w14:paraId="3743FEF1">
      <w:pPr>
        <w:pStyle w:val="270"/>
        <w:tabs>
          <w:tab w:val="left" w:pos="-23979"/>
          <w:tab w:val="left" w:pos="-22816"/>
        </w:tabs>
        <w:spacing w:line="360" w:lineRule="auto"/>
        <w:rPr>
          <w:rFonts w:hint="default" w:ascii="Arial" w:hAnsi="Arial" w:cs="Arial"/>
          <w:i w:val="0"/>
          <w:color w:val="auto"/>
          <w:sz w:val="18"/>
          <w:szCs w:val="18"/>
        </w:rPr>
      </w:pPr>
      <w:r>
        <w:rPr>
          <w:rFonts w:hint="default" w:ascii="Arial" w:hAnsi="Arial" w:cs="Arial"/>
          <w:sz w:val="18"/>
          <w:szCs w:val="18"/>
          <w:lang w:val="pt-BR" w:eastAsia="ar-SA"/>
        </w:rPr>
        <w:t xml:space="preserve">3.7 </w:t>
      </w:r>
      <w:r>
        <w:rPr>
          <w:rFonts w:hint="default" w:ascii="Arial" w:hAnsi="Arial" w:cs="Arial"/>
          <w:i w:val="0"/>
          <w:color w:val="auto"/>
          <w:sz w:val="18"/>
          <w:szCs w:val="18"/>
        </w:rPr>
        <w:t xml:space="preserve">Será concedido tratamento favorecido para as microempresas e empresas de pequeno porte, para as sociedades cooperativas </w:t>
      </w:r>
      <w:r>
        <w:rPr>
          <w:rFonts w:hint="default" w:ascii="Arial" w:hAnsi="Arial" w:eastAsia="Times New Roman" w:cs="Arial"/>
          <w:i w:val="0"/>
          <w:color w:val="auto"/>
          <w:sz w:val="18"/>
          <w:szCs w:val="18"/>
        </w:rPr>
        <w:t xml:space="preserve">mencionadas no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"art16" </w:instrText>
      </w:r>
      <w:r>
        <w:rPr>
          <w:rFonts w:hint="default" w:ascii="Arial" w:hAnsi="Arial" w:cs="Arial"/>
          <w:sz w:val="18"/>
          <w:szCs w:val="18"/>
        </w:rPr>
        <w:fldChar w:fldCharType="separate"/>
      </w:r>
      <w:r>
        <w:rPr>
          <w:rStyle w:val="11"/>
          <w:rFonts w:hint="default" w:ascii="Arial" w:hAnsi="Arial" w:eastAsia="Times New Roman" w:cs="Arial"/>
          <w:i w:val="0"/>
          <w:color w:val="auto"/>
          <w:sz w:val="18"/>
          <w:szCs w:val="18"/>
        </w:rPr>
        <w:t xml:space="preserve">artigo </w:t>
      </w:r>
      <w:r>
        <w:rPr>
          <w:rStyle w:val="11"/>
          <w:rFonts w:hint="default" w:ascii="Arial" w:hAnsi="Arial" w:cs="Arial"/>
          <w:i w:val="0"/>
          <w:color w:val="auto"/>
          <w:sz w:val="18"/>
          <w:szCs w:val="18"/>
        </w:rPr>
        <w:t>16 da Lei nº 14.133, de 2021</w:t>
      </w:r>
      <w:r>
        <w:rPr>
          <w:rStyle w:val="11"/>
          <w:rFonts w:hint="default" w:ascii="Arial" w:hAnsi="Arial" w:cs="Arial"/>
          <w:i w:val="0"/>
          <w:color w:val="auto"/>
          <w:sz w:val="18"/>
          <w:szCs w:val="18"/>
        </w:rPr>
        <w:fldChar w:fldCharType="end"/>
      </w:r>
      <w:r>
        <w:rPr>
          <w:rFonts w:hint="default" w:ascii="Arial" w:hAnsi="Arial" w:cs="Arial"/>
          <w:i w:val="0"/>
          <w:color w:val="auto"/>
          <w:sz w:val="18"/>
          <w:szCs w:val="18"/>
        </w:rPr>
        <w:t xml:space="preserve">, para o agricultor familiar, o produtor rural pessoa física e para o microempreendedor individual - MEI, nos limites previstos da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11"/>
          <w:rFonts w:hint="default" w:ascii="Arial" w:hAnsi="Arial" w:cs="Arial"/>
          <w:i w:val="0"/>
          <w:color w:val="auto"/>
          <w:sz w:val="18"/>
          <w:szCs w:val="18"/>
        </w:rPr>
        <w:t>Lei Complementar nº 123, de 2006</w:t>
      </w:r>
      <w:r>
        <w:rPr>
          <w:rStyle w:val="11"/>
          <w:rFonts w:hint="default" w:ascii="Arial" w:hAnsi="Arial" w:cs="Arial"/>
          <w:i w:val="0"/>
          <w:color w:val="auto"/>
          <w:sz w:val="18"/>
          <w:szCs w:val="18"/>
        </w:rPr>
        <w:fldChar w:fldCharType="end"/>
      </w:r>
      <w:r>
        <w:rPr>
          <w:rFonts w:hint="default" w:ascii="Arial" w:hAnsi="Arial" w:cs="Arial"/>
          <w:i w:val="0"/>
          <w:color w:val="auto"/>
          <w:sz w:val="18"/>
          <w:szCs w:val="18"/>
        </w:rPr>
        <w:t xml:space="preserve"> e do Decreto n.º 8.538, de 2015.</w:t>
      </w:r>
    </w:p>
    <w:p w14:paraId="1D832B4E">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 </w:t>
      </w:r>
      <w:r>
        <w:rPr>
          <w:rFonts w:hint="default" w:ascii="Arial" w:hAnsi="Arial" w:cs="Arial"/>
          <w:i w:val="0"/>
          <w:color w:val="auto"/>
          <w:sz w:val="18"/>
          <w:szCs w:val="18"/>
        </w:rPr>
        <w:t>Não poderão participar desta licitação os seguintes interessados:</w:t>
      </w:r>
      <w:bookmarkStart w:id="2" w:name="_Ref113883338"/>
    </w:p>
    <w:p w14:paraId="146E4312">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 </w:t>
      </w:r>
      <w:r>
        <w:rPr>
          <w:rFonts w:hint="default" w:ascii="Arial" w:hAnsi="Arial" w:cs="Arial"/>
          <w:i w:val="0"/>
          <w:color w:val="auto"/>
          <w:sz w:val="18"/>
          <w:szCs w:val="18"/>
        </w:rPr>
        <w:t>Aquele que não atenda às condições deste Edital e seu(s) anexo(s);</w:t>
      </w:r>
      <w:bookmarkStart w:id="3" w:name="_Ref114659912"/>
    </w:p>
    <w:p w14:paraId="1BE9A40D">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3.8.2 </w:t>
      </w:r>
      <w:r>
        <w:rPr>
          <w:rFonts w:hint="default" w:ascii="Arial" w:hAnsi="Arial" w:cs="Arial"/>
          <w:i w:val="0"/>
          <w:color w:val="auto"/>
          <w:sz w:val="18"/>
          <w:szCs w:val="18"/>
        </w:rPr>
        <w:t>Autor do anteprojeto, do projeto básico ou do projeto executivo, pessoa física ou jurídica, quando a licitação versar sobre serviços ou fornecimento de bens a ele relacionados;</w:t>
      </w:r>
      <w:bookmarkEnd w:id="2"/>
      <w:bookmarkEnd w:id="3"/>
      <w:bookmarkStart w:id="4" w:name="_Ref114659913"/>
      <w:bookmarkStart w:id="5" w:name="_Ref113883339"/>
    </w:p>
    <w:p w14:paraId="3B9FB938">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3.8.3 </w:t>
      </w:r>
      <w:r>
        <w:rPr>
          <w:rFonts w:hint="default" w:ascii="Arial" w:hAnsi="Arial" w:cs="Arial"/>
          <w:i w:val="0"/>
          <w:color w:val="auto"/>
          <w:sz w:val="18"/>
          <w:szCs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bookmarkEnd w:id="5"/>
      <w:bookmarkStart w:id="6" w:name="_Ref113883003"/>
    </w:p>
    <w:p w14:paraId="2D9A396B">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3.8.4 </w:t>
      </w:r>
      <w:r>
        <w:rPr>
          <w:rFonts w:hint="default" w:ascii="Arial" w:hAnsi="Arial" w:cs="Arial"/>
          <w:i w:val="0"/>
          <w:color w:val="auto"/>
          <w:sz w:val="18"/>
          <w:szCs w:val="18"/>
        </w:rPr>
        <w:t>Pessoa física ou jurídica que se encontre, ao tempo da licitação, impossibilitada de participar da licitação em decorrência de sanção que lhe foi imposta;</w:t>
      </w:r>
      <w:bookmarkEnd w:id="6"/>
    </w:p>
    <w:p w14:paraId="39CDDA55">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3.8.5 </w:t>
      </w:r>
      <w:r>
        <w:rPr>
          <w:rFonts w:hint="default" w:ascii="Arial" w:hAnsi="Arial" w:cs="Arial"/>
          <w:i w:val="0"/>
          <w:color w:val="auto"/>
          <w:sz w:val="18"/>
          <w:szCs w:val="18"/>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7" w:name="_Ref113883579"/>
    </w:p>
    <w:p w14:paraId="2948EEF7">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3.8.6 </w:t>
      </w:r>
      <w:r>
        <w:rPr>
          <w:rFonts w:hint="default" w:ascii="Arial" w:hAnsi="Arial" w:cs="Arial"/>
          <w:i w:val="0"/>
          <w:color w:val="auto"/>
          <w:sz w:val="18"/>
          <w:szCs w:val="18"/>
        </w:rPr>
        <w:t>Empresas controladoras, controladas ou coligadas, nos termos da Lei nº 6.404, de 15 de dezembro de 1976, concorrendo entre si;</w:t>
      </w:r>
      <w:bookmarkEnd w:id="7"/>
    </w:p>
    <w:p w14:paraId="05D1169C">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3.8.7 </w:t>
      </w:r>
      <w:r>
        <w:rPr>
          <w:rFonts w:hint="default" w:ascii="Arial" w:hAnsi="Arial" w:cs="Arial"/>
          <w:i w:val="0"/>
          <w:color w:val="auto"/>
          <w:sz w:val="18"/>
          <w:szCs w:val="18"/>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8" w:name="_Ref113962336"/>
    </w:p>
    <w:p w14:paraId="4B2C578D">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3.8.8 </w:t>
      </w:r>
      <w:r>
        <w:rPr>
          <w:rFonts w:hint="default" w:ascii="Arial" w:hAnsi="Arial" w:cs="Arial"/>
          <w:i w:val="0"/>
          <w:color w:val="auto"/>
          <w:sz w:val="18"/>
          <w:szCs w:val="18"/>
        </w:rPr>
        <w:t>Agente público do órgão ou entidade licitante;</w:t>
      </w:r>
      <w:bookmarkEnd w:id="8"/>
    </w:p>
    <w:p w14:paraId="7BBC2057">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3.8.9 </w:t>
      </w:r>
      <w:r>
        <w:rPr>
          <w:rFonts w:hint="default" w:ascii="Arial" w:hAnsi="Arial" w:cs="Arial"/>
          <w:i w:val="0"/>
          <w:color w:val="auto"/>
          <w:sz w:val="18"/>
          <w:szCs w:val="18"/>
        </w:rPr>
        <w:t>Organizações da Sociedade Civil de Interesse Público - OSCIP, atuando nessa condição;</w:t>
      </w:r>
    </w:p>
    <w:p w14:paraId="7D19A1DA">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3.8.10 </w:t>
      </w:r>
      <w:r>
        <w:rPr>
          <w:rFonts w:hint="default" w:ascii="Arial" w:hAnsi="Arial" w:cs="Arial"/>
          <w:i w:val="0"/>
          <w:color w:val="auto"/>
          <w:sz w:val="18"/>
          <w:szCs w:val="18"/>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"art9§1" </w:instrText>
      </w:r>
      <w:r>
        <w:rPr>
          <w:rFonts w:hint="default" w:ascii="Arial" w:hAnsi="Arial" w:cs="Arial"/>
          <w:sz w:val="18"/>
          <w:szCs w:val="18"/>
        </w:rPr>
        <w:fldChar w:fldCharType="separate"/>
      </w:r>
      <w:r>
        <w:rPr>
          <w:rStyle w:val="11"/>
          <w:rFonts w:hint="default" w:ascii="Arial" w:hAnsi="Arial" w:cs="Arial"/>
          <w:i w:val="0"/>
          <w:color w:val="auto"/>
          <w:sz w:val="18"/>
          <w:szCs w:val="18"/>
        </w:rPr>
        <w:t>§ 1º do art. 9º da Lei nº 14.133, de 2021</w:t>
      </w:r>
      <w:r>
        <w:rPr>
          <w:rStyle w:val="11"/>
          <w:rFonts w:hint="default" w:ascii="Arial" w:hAnsi="Arial" w:cs="Arial"/>
          <w:i w:val="0"/>
          <w:color w:val="auto"/>
          <w:sz w:val="18"/>
          <w:szCs w:val="18"/>
        </w:rPr>
        <w:fldChar w:fldCharType="end"/>
      </w:r>
      <w:r>
        <w:rPr>
          <w:rFonts w:hint="default" w:ascii="Arial" w:hAnsi="Arial" w:cs="Arial"/>
          <w:i w:val="0"/>
          <w:color w:val="auto"/>
          <w:sz w:val="18"/>
          <w:szCs w:val="18"/>
        </w:rPr>
        <w:t>.</w:t>
      </w:r>
    </w:p>
    <w:p w14:paraId="4C938990">
      <w:pPr>
        <w:pStyle w:val="303"/>
        <w:tabs>
          <w:tab w:val="left" w:pos="1200"/>
        </w:tabs>
        <w:spacing w:before="0" w:after="0" w:line="360" w:lineRule="auto"/>
        <w:rPr>
          <w:rFonts w:hint="default" w:ascii="Arial" w:hAnsi="Arial" w:cs="Arial"/>
          <w:sz w:val="18"/>
          <w:szCs w:val="18"/>
        </w:rPr>
      </w:pPr>
      <w:r>
        <w:rPr>
          <w:rFonts w:hint="default" w:ascii="Arial" w:hAnsi="Arial" w:cs="Arial"/>
          <w:color w:val="auto"/>
          <w:sz w:val="18"/>
          <w:szCs w:val="18"/>
        </w:rPr>
        <w:t xml:space="preserve">3.9 O impedimento de que trata o item </w:t>
      </w:r>
      <w:r>
        <w:rPr>
          <w:rFonts w:hint="default" w:ascii="Arial" w:hAnsi="Arial" w:cs="Arial"/>
          <w:sz w:val="18"/>
          <w:szCs w:val="18"/>
        </w:rPr>
        <w:fldChar w:fldCharType="begin"/>
      </w:r>
      <w:r>
        <w:rPr>
          <w:rFonts w:hint="default" w:ascii="Arial" w:hAnsi="Arial" w:cs="Arial"/>
          <w:sz w:val="18"/>
          <w:szCs w:val="18"/>
        </w:rPr>
        <w:instrText xml:space="preserve"> REF _Ref113883003 \r \h  \* MERGEFORMAT </w:instrText>
      </w:r>
      <w:r>
        <w:rPr>
          <w:rFonts w:hint="default" w:ascii="Arial" w:hAnsi="Arial" w:cs="Arial"/>
          <w:sz w:val="18"/>
          <w:szCs w:val="18"/>
        </w:rPr>
        <w:fldChar w:fldCharType="separate"/>
      </w:r>
      <w:r>
        <w:rPr>
          <w:rFonts w:hint="default" w:ascii="Arial" w:hAnsi="Arial" w:cs="Arial"/>
          <w:color w:val="auto"/>
          <w:sz w:val="18"/>
          <w:szCs w:val="18"/>
        </w:rPr>
        <w:t>3.8.4</w:t>
      </w:r>
      <w:r>
        <w:rPr>
          <w:rFonts w:hint="default" w:ascii="Arial" w:hAnsi="Arial" w:cs="Arial"/>
          <w:color w:val="auto"/>
          <w:sz w:val="18"/>
          <w:szCs w:val="18"/>
        </w:rPr>
        <w:fldChar w:fldCharType="end"/>
      </w:r>
      <w:r>
        <w:rPr>
          <w:rFonts w:hint="default" w:ascii="Arial" w:hAnsi="Arial" w:cs="Arial"/>
          <w:color w:val="auto"/>
          <w:sz w:val="18"/>
          <w:szCs w:val="18"/>
        </w:rPr>
        <w:t xml:space="preserve"> será também aplicado ao licitante que atue em substituição a outra pessoa, física ou jurídica, com o intuito de burlar a efetividade da sanção a ela aplicada, inclusive a sua</w:t>
      </w:r>
      <w:r>
        <w:rPr>
          <w:rFonts w:hint="default" w:ascii="Arial" w:hAnsi="Arial" w:cs="Arial"/>
          <w:sz w:val="18"/>
          <w:szCs w:val="18"/>
        </w:rPr>
        <w:t xml:space="preserve"> controladora, controlada ou coligada, desde que devidamente comprovado o ilícito ou a utilização fraudulenta da personalidade jurídica do licitante.</w:t>
      </w:r>
    </w:p>
    <w:p w14:paraId="00BB2272">
      <w:pPr>
        <w:pStyle w:val="303"/>
        <w:spacing w:before="0" w:after="0" w:line="360" w:lineRule="auto"/>
        <w:rPr>
          <w:rFonts w:hint="default" w:ascii="Arial" w:hAnsi="Arial" w:cs="Arial"/>
          <w:sz w:val="18"/>
          <w:szCs w:val="18"/>
        </w:rPr>
      </w:pPr>
      <w:bookmarkStart w:id="9" w:name="art14§2"/>
      <w:bookmarkEnd w:id="9"/>
      <w:r>
        <w:rPr>
          <w:rFonts w:hint="default" w:ascii="Arial" w:hAnsi="Arial" w:cs="Arial"/>
          <w:sz w:val="18"/>
          <w:szCs w:val="18"/>
        </w:rPr>
        <w:t xml:space="preserve">3.10 A critério da Administração e exclusivamente a seu serviço, o autor dos projetos e a empresa a que se referem 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poderão participar no apoio das atividades de planejamento da contratação, de execução da licitação ou de gestão do contrato, desde que sob supervisão exclusiva de agentes públicos do órgão ou entidade.</w:t>
      </w:r>
    </w:p>
    <w:p w14:paraId="30046473">
      <w:pPr>
        <w:pStyle w:val="303"/>
        <w:spacing w:before="0" w:after="0" w:line="360" w:lineRule="auto"/>
        <w:rPr>
          <w:rFonts w:hint="default" w:ascii="Arial" w:hAnsi="Arial" w:cs="Arial"/>
          <w:sz w:val="18"/>
          <w:szCs w:val="18"/>
        </w:rPr>
      </w:pPr>
      <w:bookmarkStart w:id="10" w:name="art14§3"/>
      <w:bookmarkEnd w:id="10"/>
      <w:r>
        <w:rPr>
          <w:rFonts w:hint="default" w:ascii="Arial" w:hAnsi="Arial" w:cs="Arial"/>
          <w:sz w:val="18"/>
          <w:szCs w:val="18"/>
        </w:rPr>
        <w:t>3.11 Equiparam-se aos autores do projeto as empresas integrantes do mesmo grupo econômico.</w:t>
      </w:r>
    </w:p>
    <w:p w14:paraId="3FCB7608">
      <w:pPr>
        <w:pStyle w:val="303"/>
        <w:spacing w:before="0" w:after="0" w:line="360" w:lineRule="auto"/>
        <w:rPr>
          <w:rFonts w:hint="default" w:ascii="Arial" w:hAnsi="Arial" w:cs="Arial"/>
          <w:sz w:val="18"/>
          <w:szCs w:val="18"/>
        </w:rPr>
      </w:pPr>
      <w:bookmarkStart w:id="11" w:name="art14§4"/>
      <w:bookmarkEnd w:id="11"/>
      <w:r>
        <w:rPr>
          <w:rFonts w:hint="default" w:ascii="Arial" w:hAnsi="Arial" w:cs="Arial"/>
          <w:sz w:val="18"/>
          <w:szCs w:val="18"/>
        </w:rPr>
        <w:t xml:space="preserve">3.12 O disposto nos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F4C7749">
      <w:pPr>
        <w:pStyle w:val="303"/>
        <w:spacing w:before="0" w:after="0" w:line="360" w:lineRule="auto"/>
        <w:rPr>
          <w:rFonts w:hint="default" w:ascii="Arial" w:hAnsi="Arial" w:cs="Arial"/>
          <w:sz w:val="18"/>
          <w:szCs w:val="18"/>
        </w:rPr>
      </w:pPr>
      <w:bookmarkStart w:id="12" w:name="art14§5"/>
      <w:bookmarkEnd w:id="12"/>
      <w:r>
        <w:rPr>
          <w:rFonts w:hint="default" w:ascii="Arial" w:hAnsi="Arial" w:cs="Arial"/>
          <w:sz w:val="18"/>
          <w:szCs w:val="18"/>
        </w:rPr>
        <w:t xml:space="preserve">3.13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1"/>
          <w:rFonts w:hint="default" w:ascii="Arial" w:hAnsi="Arial" w:cs="Arial"/>
          <w:sz w:val="18"/>
          <w:szCs w:val="18"/>
        </w:rPr>
        <w:t>Lei nº 14.133/2021</w:t>
      </w:r>
      <w:r>
        <w:rPr>
          <w:rStyle w:val="11"/>
          <w:rFonts w:hint="default" w:ascii="Arial" w:hAnsi="Arial" w:cs="Arial"/>
          <w:sz w:val="18"/>
          <w:szCs w:val="18"/>
        </w:rPr>
        <w:fldChar w:fldCharType="end"/>
      </w:r>
      <w:r>
        <w:rPr>
          <w:rFonts w:hint="default" w:ascii="Arial" w:hAnsi="Arial" w:cs="Arial"/>
          <w:sz w:val="18"/>
          <w:szCs w:val="18"/>
        </w:rPr>
        <w:t>.</w:t>
      </w:r>
    </w:p>
    <w:p w14:paraId="154080B6">
      <w:pPr>
        <w:pStyle w:val="303"/>
        <w:spacing w:before="0" w:after="0" w:line="360" w:lineRule="auto"/>
        <w:rPr>
          <w:rFonts w:hint="default" w:ascii="Arial" w:hAnsi="Arial" w:cs="Arial"/>
          <w:sz w:val="18"/>
          <w:szCs w:val="18"/>
        </w:rPr>
      </w:pPr>
      <w:r>
        <w:rPr>
          <w:rFonts w:hint="default" w:ascii="Arial" w:hAnsi="Arial" w:cs="Arial"/>
          <w:sz w:val="18"/>
          <w:szCs w:val="18"/>
        </w:rPr>
        <w:t xml:space="preserve">3.14 A vedação de que trata o item </w:t>
      </w:r>
      <w:r>
        <w:rPr>
          <w:rFonts w:hint="default" w:ascii="Arial" w:hAnsi="Arial" w:cs="Arial"/>
          <w:sz w:val="18"/>
          <w:szCs w:val="18"/>
        </w:rPr>
        <w:fldChar w:fldCharType="begin"/>
      </w:r>
      <w:r>
        <w:rPr>
          <w:rFonts w:hint="default" w:ascii="Arial" w:hAnsi="Arial" w:cs="Arial"/>
          <w:sz w:val="18"/>
          <w:szCs w:val="18"/>
        </w:rPr>
        <w:instrText xml:space="preserve"> REF _Ref113962336 \r \h  \* MERGEFORMAT </w:instrText>
      </w:r>
      <w:r>
        <w:rPr>
          <w:rFonts w:hint="default" w:ascii="Arial" w:hAnsi="Arial" w:cs="Arial"/>
          <w:sz w:val="18"/>
          <w:szCs w:val="18"/>
        </w:rPr>
        <w:fldChar w:fldCharType="separate"/>
      </w:r>
      <w:r>
        <w:rPr>
          <w:rFonts w:hint="default" w:ascii="Arial" w:hAnsi="Arial" w:cs="Arial"/>
          <w:sz w:val="18"/>
          <w:szCs w:val="18"/>
        </w:rPr>
        <w:t>3.8.8</w:t>
      </w:r>
      <w:r>
        <w:rPr>
          <w:rFonts w:hint="default" w:ascii="Arial" w:hAnsi="Arial" w:cs="Arial"/>
          <w:sz w:val="18"/>
          <w:szCs w:val="18"/>
        </w:rPr>
        <w:fldChar w:fldCharType="end"/>
      </w:r>
      <w:r>
        <w:rPr>
          <w:rFonts w:hint="default" w:ascii="Arial" w:hAnsi="Arial" w:cs="Arial"/>
          <w:sz w:val="18"/>
          <w:szCs w:val="18"/>
        </w:rPr>
        <w:t xml:space="preserve"> estende-se a terceiro que auxilie a condução da contratação na qualidade de integrante de equipe de apoio, profissional especializado ou funcionário ou representante de empresa que preste assessoria técnica.</w:t>
      </w:r>
    </w:p>
    <w:p w14:paraId="7715AFED">
      <w:pPr>
        <w:pStyle w:val="303"/>
        <w:spacing w:before="0" w:after="0" w:line="360" w:lineRule="auto"/>
        <w:rPr>
          <w:rFonts w:hint="default" w:ascii="Arial" w:hAnsi="Arial" w:cs="Arial"/>
          <w:sz w:val="18"/>
          <w:szCs w:val="18"/>
          <w:lang w:val="pt-BR"/>
        </w:rPr>
      </w:pPr>
      <w:r>
        <w:rPr>
          <w:rFonts w:hint="default" w:ascii="Arial" w:hAnsi="Arial" w:cs="Arial"/>
          <w:sz w:val="18"/>
          <w:szCs w:val="18"/>
          <w:lang w:val="pt-BR"/>
        </w:rPr>
        <w:t>3.15 O objeto social e/ou cnae deve ser compatível com o objeto do certame.</w:t>
      </w:r>
    </w:p>
    <w:p w14:paraId="6BE3ACCE">
      <w:pPr>
        <w:pStyle w:val="270"/>
        <w:rPr>
          <w:rFonts w:hint="default" w:ascii="Arial" w:hAnsi="Arial" w:cs="Arial"/>
          <w:sz w:val="18"/>
          <w:szCs w:val="18"/>
        </w:rPr>
      </w:pPr>
    </w:p>
    <w:p w14:paraId="277D730A">
      <w:pPr>
        <w:pStyle w:val="27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4. DA APRESENTAÇÃO DA PROPOSTA E DOS DOCUMENTOS DE HABILITAÇÃO</w:t>
      </w:r>
    </w:p>
    <w:p w14:paraId="27D60F15">
      <w:pPr>
        <w:pStyle w:val="271"/>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Na presente licitação, a fase de habilitação sucederá as fases de apresentação de propostas e lances e de julgamento.</w:t>
      </w:r>
      <w:bookmarkStart w:id="13" w:name="_Ref113886867"/>
      <w:bookmarkEnd w:id="13"/>
    </w:p>
    <w:p w14:paraId="42045C8C">
      <w:pPr>
        <w:pStyle w:val="271"/>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4" w:name="_Ref113889589"/>
      <w:bookmarkEnd w:id="14"/>
    </w:p>
    <w:p w14:paraId="37AEB331">
      <w:pPr>
        <w:pStyle w:val="271"/>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 item 8 e seus subitens.</w:t>
      </w:r>
    </w:p>
    <w:p w14:paraId="615BB431">
      <w:pPr>
        <w:pStyle w:val="271"/>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cadastramento da proposta inicial, o licitante declarará, em campo próprio do sistema, que:</w:t>
      </w:r>
    </w:p>
    <w:p w14:paraId="63FCA0E5">
      <w:pPr>
        <w:pStyle w:val="271"/>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779C135">
      <w:pPr>
        <w:pStyle w:val="271"/>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emprega menor de 18 anos em trabalho noturno, perigoso ou insalubre e não emprega menor de 16 anos, salvo menor, a partir de 14 anos, na condição de aprendiz, nos termos do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"art7" </w:instrText>
      </w:r>
      <w:r>
        <w:rPr>
          <w:rFonts w:hint="default" w:ascii="Arial" w:hAnsi="Arial" w:cs="Arial"/>
          <w:sz w:val="18"/>
          <w:szCs w:val="18"/>
        </w:rPr>
        <w:fldChar w:fldCharType="separate"/>
      </w:r>
      <w:r>
        <w:rPr>
          <w:rStyle w:val="325"/>
          <w:rFonts w:hint="default" w:ascii="Arial" w:hAnsi="Arial" w:cs="Arial"/>
          <w:sz w:val="18"/>
          <w:szCs w:val="18"/>
        </w:rPr>
        <w:t>artigo 7°, XXXIII, da Constituição</w:t>
      </w:r>
      <w:r>
        <w:rPr>
          <w:rStyle w:val="325"/>
          <w:rFonts w:hint="default" w:ascii="Arial" w:hAnsi="Arial" w:cs="Arial"/>
          <w:sz w:val="18"/>
          <w:szCs w:val="18"/>
        </w:rPr>
        <w:fldChar w:fldCharType="end"/>
      </w:r>
      <w:r>
        <w:rPr>
          <w:rFonts w:hint="default" w:ascii="Arial" w:hAnsi="Arial" w:cs="Arial"/>
          <w:sz w:val="18"/>
          <w:szCs w:val="18"/>
        </w:rPr>
        <w:t>;</w:t>
      </w:r>
    </w:p>
    <w:p w14:paraId="23230533">
      <w:pPr>
        <w:pStyle w:val="271"/>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possui empregados executando trabalho degradante ou forçado, observando o disposto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5"/>
          <w:rFonts w:hint="default" w:ascii="Arial" w:hAnsi="Arial" w:cs="Arial"/>
          <w:sz w:val="18"/>
          <w:szCs w:val="18"/>
        </w:rPr>
        <w:t>incisos III e IV do art. 1º e no inciso III do art. 5º da Constituição Federal</w:t>
      </w:r>
      <w:r>
        <w:rPr>
          <w:rStyle w:val="325"/>
          <w:rFonts w:hint="default" w:ascii="Arial" w:hAnsi="Arial" w:cs="Arial"/>
          <w:sz w:val="18"/>
          <w:szCs w:val="18"/>
        </w:rPr>
        <w:fldChar w:fldCharType="end"/>
      </w:r>
      <w:r>
        <w:rPr>
          <w:rFonts w:hint="default" w:ascii="Arial" w:hAnsi="Arial" w:cs="Arial"/>
          <w:sz w:val="18"/>
          <w:szCs w:val="18"/>
        </w:rPr>
        <w:t>;</w:t>
      </w:r>
    </w:p>
    <w:p w14:paraId="71609A20">
      <w:pPr>
        <w:pStyle w:val="271"/>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cumpre as exigências de reserva de cargos para pessoa com deficiência e para reabilitado da Previdência Social, previstas em lei e em outras normas específicas.</w:t>
      </w:r>
    </w:p>
    <w:p w14:paraId="284EE48C">
      <w:pPr>
        <w:pStyle w:val="271"/>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licitante organizado em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"art16" </w:instrText>
      </w:r>
      <w:r>
        <w:rPr>
          <w:rFonts w:hint="default" w:ascii="Arial" w:hAnsi="Arial" w:cs="Arial"/>
          <w:sz w:val="18"/>
          <w:szCs w:val="18"/>
        </w:rPr>
        <w:fldChar w:fldCharType="separate"/>
      </w:r>
      <w:r>
        <w:rPr>
          <w:rStyle w:val="325"/>
          <w:rFonts w:hint="default" w:ascii="Arial" w:hAnsi="Arial" w:cs="Arial"/>
          <w:sz w:val="18"/>
          <w:szCs w:val="18"/>
        </w:rPr>
        <w:t>artigo 16 da Lei nº 14.133, de 2021</w:t>
      </w:r>
      <w:r>
        <w:rPr>
          <w:rStyle w:val="325"/>
          <w:rFonts w:hint="default" w:ascii="Arial" w:hAnsi="Arial" w:cs="Arial"/>
          <w:sz w:val="18"/>
          <w:szCs w:val="18"/>
        </w:rPr>
        <w:fldChar w:fldCharType="end"/>
      </w:r>
      <w:r>
        <w:rPr>
          <w:rFonts w:hint="default" w:ascii="Arial" w:hAnsi="Arial" w:cs="Arial"/>
          <w:sz w:val="18"/>
          <w:szCs w:val="18"/>
        </w:rPr>
        <w:t>.</w:t>
      </w:r>
      <w:bookmarkStart w:id="15" w:name="_Ref117000019"/>
      <w:bookmarkEnd w:id="15"/>
    </w:p>
    <w:p w14:paraId="3BED02F5">
      <w:pPr>
        <w:pStyle w:val="271"/>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fornecedor enquadrado como microempresa, empresa de pequeno porte ou sociedade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"art3" </w:instrText>
      </w:r>
      <w:r>
        <w:rPr>
          <w:rFonts w:hint="default" w:ascii="Arial" w:hAnsi="Arial" w:cs="Arial"/>
          <w:sz w:val="18"/>
          <w:szCs w:val="18"/>
        </w:rPr>
        <w:fldChar w:fldCharType="separate"/>
      </w:r>
      <w:r>
        <w:rPr>
          <w:rStyle w:val="325"/>
          <w:rFonts w:hint="default" w:ascii="Arial" w:hAnsi="Arial" w:cs="Arial"/>
          <w:sz w:val="18"/>
          <w:szCs w:val="18"/>
        </w:rPr>
        <w:t>artigo 3° da Lei Complementar nº 123, de 2006</w:t>
      </w:r>
      <w:r>
        <w:rPr>
          <w:rStyle w:val="325"/>
          <w:rFonts w:hint="default" w:ascii="Arial" w:hAnsi="Arial" w:cs="Arial"/>
          <w:sz w:val="18"/>
          <w:szCs w:val="18"/>
        </w:rPr>
        <w:fldChar w:fldCharType="end"/>
      </w:r>
      <w:r>
        <w:rPr>
          <w:rFonts w:hint="default" w:ascii="Arial" w:hAnsi="Arial" w:cs="Arial"/>
          <w:sz w:val="18"/>
          <w:szCs w:val="18"/>
        </w:rPr>
        <w:t xml:space="preserve">, estando apto a usufruir do tratamento favorecido estabelecido em seus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"art42" </w:instrText>
      </w:r>
      <w:r>
        <w:rPr>
          <w:rFonts w:hint="default" w:ascii="Arial" w:hAnsi="Arial" w:cs="Arial"/>
          <w:sz w:val="18"/>
          <w:szCs w:val="18"/>
        </w:rPr>
        <w:fldChar w:fldCharType="separate"/>
      </w:r>
      <w:r>
        <w:rPr>
          <w:rStyle w:val="325"/>
          <w:rFonts w:hint="default" w:ascii="Arial" w:hAnsi="Arial" w:cs="Arial"/>
          <w:sz w:val="18"/>
          <w:szCs w:val="18"/>
        </w:rPr>
        <w:t>arts. 42 a 49</w:t>
      </w:r>
      <w:r>
        <w:rPr>
          <w:rStyle w:val="325"/>
          <w:rFonts w:hint="default" w:ascii="Arial" w:hAnsi="Arial" w:cs="Arial"/>
          <w:sz w:val="18"/>
          <w:szCs w:val="18"/>
        </w:rPr>
        <w:fldChar w:fldCharType="end"/>
      </w:r>
      <w:r>
        <w:rPr>
          <w:rFonts w:hint="default" w:ascii="Arial" w:hAnsi="Arial" w:cs="Arial"/>
          <w:sz w:val="18"/>
          <w:szCs w:val="18"/>
        </w:rPr>
        <w:t xml:space="preserve">, observado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"art4§1" </w:instrText>
      </w:r>
      <w:r>
        <w:rPr>
          <w:rFonts w:hint="default" w:ascii="Arial" w:hAnsi="Arial" w:cs="Arial"/>
          <w:sz w:val="18"/>
          <w:szCs w:val="18"/>
        </w:rPr>
        <w:fldChar w:fldCharType="separate"/>
      </w:r>
      <w:r>
        <w:rPr>
          <w:rStyle w:val="325"/>
          <w:rFonts w:hint="default" w:ascii="Arial" w:hAnsi="Arial" w:cs="Arial"/>
          <w:sz w:val="18"/>
          <w:szCs w:val="18"/>
        </w:rPr>
        <w:t>§§ 1º ao 3º do art. 4º, da Lei n.º 14.133, de 2021.</w:t>
      </w:r>
      <w:r>
        <w:rPr>
          <w:rStyle w:val="325"/>
          <w:rFonts w:hint="default" w:ascii="Arial" w:hAnsi="Arial" w:cs="Arial"/>
          <w:sz w:val="18"/>
          <w:szCs w:val="18"/>
        </w:rPr>
        <w:fldChar w:fldCharType="end"/>
      </w:r>
    </w:p>
    <w:p w14:paraId="1F41931E">
      <w:pPr>
        <w:pStyle w:val="271"/>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item exclusivo para participação de microempresas e empresas de pequeno porte, a assinalação do campo “não” impedirá o prosseguimento no certame, para aquele item;</w:t>
      </w:r>
    </w:p>
    <w:p w14:paraId="7027F694">
      <w:pPr>
        <w:pStyle w:val="271"/>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nos itens em que a participação não for exclusiva para microempresas e empresas de pequeno porte, a assinalação do campo “não” apenas produzirá o efeito de o licitante não ter direito ao tratamento favorecido previsto na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325"/>
          <w:rFonts w:hint="default" w:ascii="Arial" w:hAnsi="Arial" w:cs="Arial"/>
          <w:sz w:val="18"/>
          <w:szCs w:val="18"/>
        </w:rPr>
        <w:t>Lei Complementar nº 123, de 2006</w:t>
      </w:r>
      <w:r>
        <w:rPr>
          <w:rStyle w:val="325"/>
          <w:rFonts w:hint="default" w:ascii="Arial" w:hAnsi="Arial" w:cs="Arial"/>
          <w:sz w:val="18"/>
          <w:szCs w:val="18"/>
        </w:rPr>
        <w:fldChar w:fldCharType="end"/>
      </w:r>
      <w:r>
        <w:rPr>
          <w:rFonts w:hint="default" w:ascii="Arial" w:hAnsi="Arial" w:cs="Arial"/>
          <w:sz w:val="18"/>
          <w:szCs w:val="18"/>
        </w:rPr>
        <w:t>, mesmo que microempresa, empresa de pequeno porte ou sociedade cooperativa.</w:t>
      </w:r>
    </w:p>
    <w:p w14:paraId="1BD7A909">
      <w:pPr>
        <w:pStyle w:val="303"/>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falsidade da declaração de que trata os itens 4.4 ou 4.6 sujeitará o licitante às sanções previstas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325"/>
          <w:rFonts w:hint="default" w:ascii="Arial" w:hAnsi="Arial" w:cs="Arial"/>
          <w:sz w:val="18"/>
          <w:szCs w:val="18"/>
        </w:rPr>
        <w:t>Lei nº 14.133, de 2021</w:t>
      </w:r>
      <w:r>
        <w:rPr>
          <w:rStyle w:val="325"/>
          <w:rFonts w:hint="default" w:ascii="Arial" w:hAnsi="Arial" w:cs="Arial"/>
          <w:sz w:val="18"/>
          <w:szCs w:val="18"/>
        </w:rPr>
        <w:fldChar w:fldCharType="end"/>
      </w:r>
      <w:r>
        <w:rPr>
          <w:rFonts w:hint="default" w:ascii="Arial" w:hAnsi="Arial" w:cs="Arial"/>
          <w:sz w:val="18"/>
          <w:szCs w:val="18"/>
        </w:rPr>
        <w:t>, e neste Edital.</w:t>
      </w:r>
    </w:p>
    <w:p w14:paraId="57B2DE27">
      <w:pPr>
        <w:pStyle w:val="303"/>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5F03053">
      <w:pPr>
        <w:pStyle w:val="303"/>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553DB2E3">
      <w:pPr>
        <w:pStyle w:val="303"/>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Serão disponibilizados para acesso público os documentos que compõem a proposta dos licitantes convocados para apresentação de propostas, após a fase de envio de lances.</w:t>
      </w:r>
      <w:bookmarkStart w:id="16" w:name="_Ref116992247"/>
      <w:bookmarkEnd w:id="16"/>
    </w:p>
    <w:p w14:paraId="3DECD061">
      <w:pPr>
        <w:pStyle w:val="303"/>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Desde que disponibilizada a funcionalidade no sistema, o licitante poderá parametrizar o seu valor final mínimo ou o seu percentual de desconto máximo quando do cadastramento da proposta e obedecerá às seguintes regras:</w:t>
      </w:r>
    </w:p>
    <w:p w14:paraId="0DB3FEED">
      <w:pPr>
        <w:pStyle w:val="303"/>
        <w:numPr>
          <w:ilvl w:val="2"/>
          <w:numId w:val="3"/>
        </w:numPr>
        <w:tabs>
          <w:tab w:val="left" w:pos="480"/>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a aplicação do intervalo mínimo de diferença de valores ou de percentuais entre os lances, que incidirá tanto em relação aos lances intermediários quanto em relação ao lance que cobrir a melhor oferta; e</w:t>
      </w:r>
    </w:p>
    <w:p w14:paraId="0120F5B8">
      <w:pPr>
        <w:pStyle w:val="304"/>
        <w:numPr>
          <w:ilvl w:val="2"/>
          <w:numId w:val="3"/>
        </w:numPr>
        <w:tabs>
          <w:tab w:val="left" w:pos="480"/>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os lances serão de envio automático pelo sistema, respeitado o valor final mínimo, caso estabelecido, e o intervalo de que trata o subitem acima.</w:t>
      </w:r>
    </w:p>
    <w:p w14:paraId="0D7CEF21">
      <w:pPr>
        <w:pStyle w:val="303"/>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no sistema poderá ser alterado pelo fornecedor durante a fase de disputa, sendo vedado:</w:t>
      </w:r>
    </w:p>
    <w:p w14:paraId="4661D0E7">
      <w:pPr>
        <w:pStyle w:val="304"/>
        <w:numPr>
          <w:ilvl w:val="2"/>
          <w:numId w:val="3"/>
        </w:numPr>
        <w:tabs>
          <w:tab w:val="left" w:pos="480"/>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valor superior a lance já registrado pelo fornecedor no sistema, quando adotado o critério de julgamento por menor preço; e</w:t>
      </w:r>
    </w:p>
    <w:p w14:paraId="342A4F49">
      <w:pPr>
        <w:pStyle w:val="304"/>
        <w:numPr>
          <w:ilvl w:val="2"/>
          <w:numId w:val="3"/>
        </w:numPr>
        <w:tabs>
          <w:tab w:val="left" w:pos="480"/>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percentual de desconto inferior a lance já registrado pelo fornecedor no sistema, quando adotado o critério de julgamento por maior desconto.</w:t>
      </w:r>
    </w:p>
    <w:p w14:paraId="5494309D">
      <w:pPr>
        <w:pStyle w:val="303"/>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4B15DF3A">
      <w:pPr>
        <w:pStyle w:val="303"/>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Caberá ao licitante interessado em participar da licitação </w:t>
      </w:r>
      <w:r>
        <w:rPr>
          <w:rFonts w:hint="default" w:ascii="Arial" w:hAnsi="Arial" w:cs="Arial"/>
          <w:sz w:val="18"/>
          <w:szCs w:val="18"/>
        </w:rPr>
        <w:t>acompanhar as operações no sistema eletrônico durante o processo licitatório e se responsabilizar pelo ônus decorrente da perda de negócios diante da inobservância de mensagens emitidas pela Administração ou de sua desconexão.</w:t>
      </w:r>
    </w:p>
    <w:p w14:paraId="12C590C1">
      <w:pPr>
        <w:pStyle w:val="303"/>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O licitante deverá </w:t>
      </w:r>
      <w:r>
        <w:rPr>
          <w:rFonts w:hint="default" w:ascii="Arial" w:hAnsi="Arial" w:cs="Arial"/>
          <w:sz w:val="18"/>
          <w:szCs w:val="18"/>
        </w:rPr>
        <w:t>comunicar imediatamente ao provedor do sistema qualquer acontecimento que possa comprometer o sigilo ou a segurança, para imediato bloqueio de acesso.</w:t>
      </w:r>
    </w:p>
    <w:p w14:paraId="7184DC08">
      <w:pPr>
        <w:pStyle w:val="303"/>
        <w:tabs>
          <w:tab w:val="left" w:pos="993"/>
        </w:tabs>
        <w:spacing w:before="0" w:after="0" w:line="240" w:lineRule="auto"/>
        <w:rPr>
          <w:rFonts w:hint="default" w:ascii="Arial" w:hAnsi="Arial" w:cs="Arial"/>
          <w:sz w:val="18"/>
          <w:szCs w:val="18"/>
        </w:rPr>
      </w:pPr>
    </w:p>
    <w:p w14:paraId="09F6DAE9">
      <w:pPr>
        <w:spacing w:line="360" w:lineRule="auto"/>
        <w:rPr>
          <w:rFonts w:hint="default" w:ascii="Arial" w:hAnsi="Arial" w:cs="Arial"/>
          <w:sz w:val="18"/>
          <w:szCs w:val="18"/>
        </w:rPr>
      </w:pPr>
      <w:r>
        <w:rPr>
          <w:rFonts w:hint="default" w:ascii="Arial" w:hAnsi="Arial" w:cs="Arial"/>
          <w:b/>
          <w:sz w:val="18"/>
          <w:szCs w:val="18"/>
          <w:lang w:eastAsia="ar-SA"/>
        </w:rPr>
        <w:t xml:space="preserve">5. DA </w:t>
      </w:r>
      <w:r>
        <w:rPr>
          <w:rFonts w:hint="default" w:ascii="Arial" w:hAnsi="Arial" w:cs="Arial"/>
          <w:b/>
          <w:sz w:val="18"/>
          <w:szCs w:val="18"/>
        </w:rPr>
        <w:t>DO PREENCHIMENTO DA PROPOSTA</w:t>
      </w:r>
    </w:p>
    <w:p w14:paraId="2A79A16B">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enviar sua proposta mediante o preenchimento, no sistema eletrônico, dos seguintes campos:</w:t>
      </w:r>
    </w:p>
    <w:p w14:paraId="07F32CDD">
      <w:pPr>
        <w:pStyle w:val="304"/>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valor total do item;</w:t>
      </w:r>
    </w:p>
    <w:p w14:paraId="7C2E65DE">
      <w:pPr>
        <w:pStyle w:val="304"/>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Marca;</w:t>
      </w:r>
    </w:p>
    <w:p w14:paraId="18B0B914">
      <w:pPr>
        <w:pStyle w:val="304"/>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Descrição do objeto, contendo as informações</w:t>
      </w:r>
      <w:r>
        <w:rPr>
          <w:rFonts w:hint="default" w:ascii="Arial" w:hAnsi="Arial" w:cs="Arial"/>
          <w:bCs/>
          <w:sz w:val="18"/>
          <w:szCs w:val="18"/>
        </w:rPr>
        <w:t xml:space="preserve">, que podem ser similares ou de qualidade superior às especificações/informações do Termo de Referência, </w:t>
      </w:r>
      <w:r>
        <w:rPr>
          <w:rFonts w:hint="default" w:ascii="Arial" w:hAnsi="Arial" w:cs="Arial"/>
          <w:b/>
          <w:bCs/>
          <w:sz w:val="18"/>
          <w:szCs w:val="18"/>
        </w:rPr>
        <w:t>ANEXO I deste edital</w:t>
      </w:r>
      <w:r>
        <w:rPr>
          <w:rFonts w:hint="default" w:ascii="Arial" w:hAnsi="Arial" w:cs="Arial"/>
          <w:bCs/>
          <w:sz w:val="18"/>
          <w:szCs w:val="18"/>
        </w:rPr>
        <w:t>.</w:t>
      </w:r>
    </w:p>
    <w:p w14:paraId="3CA49A95">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Todas as especificações do objeto contidas na proposta vinculam o licitante, para todos os efeitos legais.</w:t>
      </w:r>
    </w:p>
    <w:p w14:paraId="6D979207">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Nos valores propostos estarão inclusos todos os custos operacionais, encargos previdenciários, trabalhistas, tributários, comerciais e quaisquer outros que incidam direta ou indiretamente na execução do objeto.</w:t>
      </w:r>
    </w:p>
    <w:p w14:paraId="2862C61D">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537FF923">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Se o regime tributário da empresa implicar o recolhimento de tributos em percentuais variáveis, a cotação adequada será a que corresponde à média dos efetivos recolhimentos da empresa nos últimos doze meses. </w:t>
      </w:r>
    </w:p>
    <w:p w14:paraId="09BA5FE9">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Independentemente do percentual de tributo inserido na planilha, no pagamento serão retidos na fonte os percentuais estabelecidos na legislação vigente.</w:t>
      </w:r>
    </w:p>
    <w:p w14:paraId="71F96AC3">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122E6A3">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prazo de validade da proposta não será inferior a </w:t>
      </w:r>
      <w:r>
        <w:rPr>
          <w:rFonts w:hint="default" w:ascii="Arial" w:hAnsi="Arial" w:cs="Arial"/>
          <w:b/>
          <w:bCs/>
          <w:sz w:val="18"/>
          <w:szCs w:val="18"/>
        </w:rPr>
        <w:t xml:space="preserve">60 (sessenta) </w:t>
      </w:r>
      <w:r>
        <w:rPr>
          <w:rFonts w:hint="default" w:ascii="Arial" w:hAnsi="Arial" w:cs="Arial"/>
          <w:sz w:val="18"/>
          <w:szCs w:val="18"/>
        </w:rPr>
        <w:t>dias</w:t>
      </w:r>
      <w:r>
        <w:rPr>
          <w:rFonts w:hint="default" w:ascii="Arial" w:hAnsi="Arial" w:cs="Arial"/>
          <w:b/>
          <w:sz w:val="18"/>
          <w:szCs w:val="18"/>
        </w:rPr>
        <w:t>,</w:t>
      </w:r>
      <w:r>
        <w:rPr>
          <w:rFonts w:hint="default" w:ascii="Arial" w:hAnsi="Arial" w:cs="Arial"/>
          <w:sz w:val="18"/>
          <w:szCs w:val="18"/>
        </w:rPr>
        <w:t xml:space="preserve"> a contar da data de sua apresentação.</w:t>
      </w:r>
    </w:p>
    <w:p w14:paraId="446E8D72">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devem respeitar os preços máximos estabelecidos nas normas de regência de contratações públicas federais, quando participarem de licitações públicas;</w:t>
      </w:r>
    </w:p>
    <w:p w14:paraId="1A77D1B4">
      <w:pPr>
        <w:pStyle w:val="304"/>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Caso o critério de julgamento seja o de maior desconto, o preço já decorrente da aplicação do desconto ofertado deverá respeitar os preços máximos previstos</w:t>
      </w:r>
      <w:r>
        <w:rPr>
          <w:rFonts w:hint="default" w:ascii="Arial" w:hAnsi="Arial" w:cs="Arial"/>
          <w:sz w:val="18"/>
          <w:szCs w:val="18"/>
          <w:lang w:val="pt-BR"/>
        </w:rPr>
        <w:t>.</w:t>
      </w:r>
    </w:p>
    <w:p w14:paraId="445544E7">
      <w:pPr>
        <w:shd w:val="clear" w:color="auto" w:fill="FFFFFF"/>
        <w:tabs>
          <w:tab w:val="left" w:pos="851"/>
          <w:tab w:val="left" w:pos="993"/>
        </w:tabs>
        <w:spacing w:line="360" w:lineRule="auto"/>
        <w:jc w:val="both"/>
        <w:rPr>
          <w:rFonts w:hint="default" w:ascii="Arial" w:hAnsi="Arial" w:cs="Arial"/>
          <w:sz w:val="18"/>
          <w:szCs w:val="18"/>
        </w:rPr>
      </w:pPr>
      <w:r>
        <w:rPr>
          <w:rFonts w:hint="default" w:ascii="Arial" w:hAnsi="Arial" w:cs="Arial"/>
          <w:sz w:val="18"/>
          <w:szCs w:val="18"/>
        </w:rPr>
        <w:t xml:space="preserve">5.9.1.1 Na licitação </w:t>
      </w:r>
      <w:r>
        <w:rPr>
          <w:rFonts w:hint="default" w:ascii="Arial" w:hAnsi="Arial" w:cs="Arial"/>
          <w:sz w:val="18"/>
          <w:szCs w:val="18"/>
          <w:lang w:val="pt-BR"/>
        </w:rPr>
        <w:t>por lote</w:t>
      </w:r>
      <w:r>
        <w:rPr>
          <w:rFonts w:hint="default" w:ascii="Arial" w:hAnsi="Arial" w:cs="Arial"/>
          <w:sz w:val="18"/>
          <w:szCs w:val="18"/>
        </w:rPr>
        <w:t xml:space="preserve">, o preço da proposta de preços vencedora de cada um dos itens que o compõem não pode ultrapassar o preço de referência unitário, salvo quando, justificadamente, o sobrepreço for irrelevante e o </w:t>
      </w:r>
      <w:r>
        <w:rPr>
          <w:rFonts w:hint="default" w:ascii="Arial" w:hAnsi="Arial" w:cs="Arial"/>
          <w:sz w:val="18"/>
          <w:szCs w:val="18"/>
          <w:lang w:val="pt-BR"/>
        </w:rPr>
        <w:t xml:space="preserve">item </w:t>
      </w:r>
      <w:r>
        <w:rPr>
          <w:rFonts w:hint="default" w:ascii="Arial" w:hAnsi="Arial" w:cs="Arial"/>
          <w:sz w:val="18"/>
          <w:szCs w:val="18"/>
        </w:rPr>
        <w:t>em seu preço global for vantajoso para a Administração.</w:t>
      </w:r>
    </w:p>
    <w:p w14:paraId="572CC53C">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4"/>
          <w:rFonts w:hint="default" w:ascii="Arial" w:hAnsi="Arial" w:cs="Arial"/>
          <w:sz w:val="18"/>
          <w:szCs w:val="18"/>
        </w:rPr>
        <w:t>art. 71, inciso IX, da Constituição</w:t>
      </w:r>
      <w:r>
        <w:rPr>
          <w:rStyle w:val="324"/>
          <w:rFonts w:hint="default" w:ascii="Arial" w:hAnsi="Arial" w:cs="Arial"/>
          <w:sz w:val="18"/>
          <w:szCs w:val="18"/>
        </w:rPr>
        <w:fldChar w:fldCharType="end"/>
      </w:r>
      <w:r>
        <w:rPr>
          <w:rFonts w:hint="default" w:ascii="Arial" w:hAnsi="Arial" w:cs="Arial"/>
          <w:sz w:val="18"/>
          <w:szCs w:val="18"/>
        </w:rPr>
        <w:t>; ou condenação dos agentes públicos responsáveis e da empresa contratada ao pagamento dos prejuízos ao erário, caso verificada a ocorrência de superfaturamento por sobrepreço na execução do contrato.</w:t>
      </w:r>
    </w:p>
    <w:p w14:paraId="6C2D19DE">
      <w:pPr>
        <w:pStyle w:val="303"/>
        <w:tabs>
          <w:tab w:val="left" w:pos="851"/>
          <w:tab w:val="left" w:pos="993"/>
        </w:tabs>
        <w:spacing w:before="0" w:after="0" w:line="240" w:lineRule="auto"/>
        <w:rPr>
          <w:rFonts w:hint="default" w:ascii="Arial" w:hAnsi="Arial" w:cs="Arial"/>
          <w:sz w:val="18"/>
          <w:szCs w:val="18"/>
        </w:rPr>
      </w:pPr>
    </w:p>
    <w:p w14:paraId="4F9E1FE1">
      <w:pPr>
        <w:pStyle w:val="278"/>
        <w:widowControl w:val="0"/>
        <w:numPr>
          <w:ilvl w:val="0"/>
          <w:numId w:val="5"/>
        </w:numPr>
        <w:tabs>
          <w:tab w:val="left" w:pos="720"/>
          <w:tab w:val="left" w:pos="851"/>
          <w:tab w:val="clear" w:pos="567"/>
        </w:tabs>
        <w:autoSpaceDN w:val="0"/>
        <w:spacing w:before="0" w:line="360" w:lineRule="auto"/>
        <w:ind w:left="0" w:firstLine="0"/>
        <w:rPr>
          <w:rFonts w:hint="default" w:ascii="Arial" w:hAnsi="Arial" w:cs="Arial"/>
          <w:sz w:val="18"/>
          <w:szCs w:val="18"/>
        </w:rPr>
      </w:pPr>
      <w:bookmarkStart w:id="17" w:name="_Toc122606107"/>
      <w:bookmarkEnd w:id="17"/>
      <w:bookmarkStart w:id="18" w:name="_Hlk114646655"/>
      <w:r>
        <w:rPr>
          <w:rFonts w:hint="default" w:ascii="Arial" w:hAnsi="Arial" w:cs="Arial"/>
          <w:sz w:val="18"/>
          <w:szCs w:val="18"/>
        </w:rPr>
        <w:t>DA ABERTURA DA SESSÃO, CLASSIFICAÇÃO DAS PROPOSTAS E FORMULAÇÃO DE LANCES</w:t>
      </w:r>
      <w:bookmarkEnd w:id="18"/>
    </w:p>
    <w:p w14:paraId="04DAC18C">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abertura da presente licitação dar-se-á automaticamente em sessão pública, por meio de sistema eletrônico, na data, horário e local indicados neste Edital.</w:t>
      </w:r>
    </w:p>
    <w:p w14:paraId="3116DB5D">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os documentos de habilitação, quando for o caso, anteriormente inseridos no sistema, até a abertura da sessão pública.</w:t>
      </w:r>
    </w:p>
    <w:p w14:paraId="7EB02A3C">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Será desclassificada a proposta que identifique o licitante.</w:t>
      </w:r>
    </w:p>
    <w:p w14:paraId="2C2D6D4B">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desclassificação será sempre fundamentada e registrada no sistema, com acompanhamento em tempo real por todos os participantes.</w:t>
      </w:r>
    </w:p>
    <w:p w14:paraId="51820378">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não desclassificação da proposta não impede o seu julgamento definitivo em sentido contrário, levado a efeito na fase de aceitação.</w:t>
      </w:r>
    </w:p>
    <w:p w14:paraId="773C9EFA">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sistema ordenará automaticamente as propostas classificadas, sendo que somente estas participarão da fase de lances.</w:t>
      </w:r>
    </w:p>
    <w:p w14:paraId="6ABB4ABD">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sistema disponibilizará campo próprio para troca de mensagens entre o Agente de Contratação e os licitantes.</w:t>
      </w:r>
    </w:p>
    <w:p w14:paraId="50695BD3">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Iniciada a etapa competitiva, os licitantes deverão encaminhar lances exclusivamente por meio de sistema eletrônico, sendo imediatamente informados do seu recebimento e do valor consignado no registro. </w:t>
      </w:r>
    </w:p>
    <w:p w14:paraId="06743A93">
      <w:pPr>
        <w:pStyle w:val="303"/>
        <w:numPr>
          <w:ilvl w:val="1"/>
          <w:numId w:val="6"/>
        </w:numPr>
        <w:tabs>
          <w:tab w:val="left" w:pos="720"/>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O lance deverá ser ofertado pelo </w:t>
      </w:r>
      <w:r>
        <w:rPr>
          <w:rFonts w:hint="default" w:ascii="Arial" w:hAnsi="Arial" w:cs="Arial"/>
          <w:b/>
          <w:sz w:val="18"/>
          <w:szCs w:val="18"/>
        </w:rPr>
        <w:t xml:space="preserve">VALOR </w:t>
      </w:r>
      <w:r>
        <w:rPr>
          <w:b/>
          <w:sz w:val="18"/>
          <w:szCs w:val="18"/>
        </w:rPr>
        <w:t xml:space="preserve">DO </w:t>
      </w:r>
      <w:r>
        <w:rPr>
          <w:rFonts w:hint="default"/>
          <w:b/>
          <w:sz w:val="18"/>
          <w:szCs w:val="18"/>
          <w:lang w:val="pt-BR"/>
        </w:rPr>
        <w:t xml:space="preserve">ITEM. </w:t>
      </w:r>
    </w:p>
    <w:p w14:paraId="5C1B77D1">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oferecer lances sucessivos, observando o horário fixado para abertura da sessão e as regras estabelecidas no Edital.</w:t>
      </w:r>
    </w:p>
    <w:p w14:paraId="76127BBA">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licitante somente poderá oferecer lance de valor inferior ou percentual de desconto superior ao último por ele ofertado e registrado pelo sistema. </w:t>
      </w:r>
    </w:p>
    <w:p w14:paraId="61F3B196">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intervalo mínimo de diferença de valores ou percentuais entre os lances, que incidirá tanto em relação aos lances intermediários quanto em relação à proposta que cobrir a melhor oferta deverá ser </w:t>
      </w:r>
      <w:r>
        <w:rPr>
          <w:rFonts w:hint="default" w:ascii="Arial" w:hAnsi="Arial" w:cs="Arial"/>
          <w:iCs/>
          <w:sz w:val="18"/>
          <w:szCs w:val="18"/>
        </w:rPr>
        <w:t>de</w:t>
      </w:r>
      <w:r>
        <w:rPr>
          <w:rFonts w:hint="default" w:ascii="Arial" w:hAnsi="Arial" w:cs="Arial"/>
          <w:iCs/>
          <w:color w:val="FF0000"/>
          <w:sz w:val="18"/>
          <w:szCs w:val="18"/>
        </w:rPr>
        <w:t xml:space="preserve"> </w:t>
      </w:r>
      <w:r>
        <w:rPr>
          <w:rFonts w:hint="default" w:ascii="Arial" w:hAnsi="Arial" w:cs="Arial"/>
          <w:iCs/>
          <w:sz w:val="18"/>
          <w:szCs w:val="18"/>
          <w:lang w:val="pt-BR"/>
        </w:rPr>
        <w:t>0,01% (um por cento).</w:t>
      </w:r>
    </w:p>
    <w:p w14:paraId="59E1DB5C">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licitante poderá, uma única vez, excluir seu último lance ofertado, no intervalo de quinze segundos após o registro no sistema, na hipótese de lance inconsistente ou inexequível.</w:t>
      </w:r>
    </w:p>
    <w:p w14:paraId="35436813">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procedimento seguirá de acordo com o modo de disputa “</w:t>
      </w:r>
      <w:r>
        <w:rPr>
          <w:rFonts w:hint="default" w:ascii="Arial" w:hAnsi="Arial" w:cs="Arial"/>
          <w:b/>
          <w:sz w:val="18"/>
          <w:szCs w:val="18"/>
        </w:rPr>
        <w:t>aberto e fechado”.</w:t>
      </w:r>
    </w:p>
    <w:p w14:paraId="21D2E94E">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apresentarão lances públicos e sucessivos, com lance final e fechado.</w:t>
      </w:r>
    </w:p>
    <w:p w14:paraId="75FE9D86">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8B1D06D">
      <w:pPr>
        <w:pStyle w:val="304"/>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A589A15">
      <w:pPr>
        <w:pStyle w:val="304"/>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No procedimento de que trata o subitem supra, o licitante poderá optar por manter o seu último lance da etapa aberta, ou por ofertar melhor lance.</w:t>
      </w:r>
    </w:p>
    <w:p w14:paraId="22327B64">
      <w:pPr>
        <w:pStyle w:val="304"/>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A754FE1">
      <w:pPr>
        <w:pStyle w:val="304"/>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Após o término dos prazos estabelecidos nos itens anteriores, o sistema ordenará e divulgará os lances segundo a ordem crescente de valores.</w:t>
      </w:r>
    </w:p>
    <w:p w14:paraId="4B871D6A">
      <w:pPr>
        <w:pStyle w:val="303"/>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Não serão aceitos dois ou mais lances de mesmo valor, prevalecendo aquele que for recebido e registrado em primeiro lugar. </w:t>
      </w:r>
    </w:p>
    <w:p w14:paraId="5A6A41E6">
      <w:pPr>
        <w:pStyle w:val="303"/>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Durante o transcurso da sessão pública, os licitantes serão informados, em tempo real, do valor do menor lance registrado, vedada a identificação do licitante. </w:t>
      </w:r>
    </w:p>
    <w:p w14:paraId="3F565BF0">
      <w:pPr>
        <w:pStyle w:val="303"/>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No caso de desconexão com o Agente de Contratação, no decorrer da etapa competitiva do Pregão, o sistema eletrônico poderá permanecer acessível aos licitantes para a recepção dos lances. </w:t>
      </w:r>
    </w:p>
    <w:p w14:paraId="206062B0">
      <w:pPr>
        <w:pStyle w:val="303"/>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143C149E">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Caso o licitante não apresente lances, concorrerá com o valor de sua proposta.</w:t>
      </w:r>
    </w:p>
    <w:p w14:paraId="0ED4EFC1">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 relação a itens não exclusivos para participação de microempresas e empresas de pequeno porte, uma vez encerrada a etapa de lances</w:t>
      </w:r>
      <w:r>
        <w:rPr>
          <w:rFonts w:hint="default" w:ascii="Arial" w:hAnsi="Arial" w:eastAsia="zurich bt" w:cs="Arial"/>
          <w:sz w:val="18"/>
          <w:szCs w:val="18"/>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"art44" </w:instrText>
      </w:r>
      <w:r>
        <w:rPr>
          <w:rFonts w:hint="default" w:ascii="Arial" w:hAnsi="Arial" w:cs="Arial"/>
          <w:sz w:val="18"/>
          <w:szCs w:val="18"/>
        </w:rPr>
        <w:fldChar w:fldCharType="separate"/>
      </w:r>
      <w:r>
        <w:rPr>
          <w:rStyle w:val="324"/>
          <w:rFonts w:hint="default" w:ascii="Arial" w:hAnsi="Arial" w:eastAsia="zurich bt" w:cs="Arial"/>
          <w:sz w:val="18"/>
          <w:szCs w:val="18"/>
        </w:rPr>
        <w:t>arts. 44 e 45 da Lei Complementar nº 123, de 2006</w:t>
      </w:r>
      <w:r>
        <w:rPr>
          <w:rStyle w:val="324"/>
          <w:rFonts w:hint="default" w:ascii="Arial" w:hAnsi="Arial" w:eastAsia="zurich bt" w:cs="Arial"/>
          <w:sz w:val="18"/>
          <w:szCs w:val="18"/>
        </w:rPr>
        <w:fldChar w:fldCharType="end"/>
      </w:r>
      <w:r>
        <w:rPr>
          <w:rFonts w:hint="default" w:ascii="Arial" w:hAnsi="Arial" w:cs="Arial"/>
          <w:sz w:val="18"/>
          <w:szCs w:val="18"/>
        </w:rPr>
        <w:t>.</w:t>
      </w:r>
    </w:p>
    <w:p w14:paraId="630E34F5">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Nessas condições, as propostas de </w:t>
      </w:r>
      <w:r>
        <w:rPr>
          <w:rFonts w:hint="default" w:ascii="Arial" w:hAnsi="Arial" w:eastAsia="zurich bt" w:cs="Arial"/>
          <w:sz w:val="18"/>
          <w:szCs w:val="18"/>
        </w:rPr>
        <w:t xml:space="preserve">microempresas e empresas de pequeno porte </w:t>
      </w:r>
      <w:r>
        <w:rPr>
          <w:rFonts w:hint="default" w:ascii="Arial" w:hAnsi="Arial" w:cs="Arial"/>
          <w:sz w:val="18"/>
          <w:szCs w:val="18"/>
        </w:rPr>
        <w:t>que se encontrarem na faixa de até 5% (cinco por cento) acima da melhor proposta ou melhor lance serão consideradas empatadas com a primeira colocada.</w:t>
      </w:r>
    </w:p>
    <w:p w14:paraId="572F8211">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3870D7E">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Caso a </w:t>
      </w:r>
      <w:r>
        <w:rPr>
          <w:rFonts w:hint="default" w:ascii="Arial" w:hAnsi="Arial" w:eastAsia="zurich bt" w:cs="Arial"/>
          <w:sz w:val="18"/>
          <w:szCs w:val="18"/>
        </w:rPr>
        <w:t>microempresa ou a empresa de pequeno porte</w:t>
      </w:r>
      <w:r>
        <w:rPr>
          <w:rFonts w:hint="default" w:ascii="Arial" w:hAnsi="Arial" w:cs="Arial"/>
          <w:sz w:val="18"/>
          <w:szCs w:val="18"/>
        </w:rPr>
        <w:t xml:space="preserve"> melhor classificada desista ou não se manifeste no prazo estabelecido, serão convocadas as demais licitantes </w:t>
      </w:r>
      <w:r>
        <w:rPr>
          <w:rFonts w:hint="default" w:ascii="Arial" w:hAnsi="Arial" w:eastAsia="zurich bt" w:cs="Arial"/>
          <w:sz w:val="18"/>
          <w:szCs w:val="18"/>
        </w:rPr>
        <w:t>microempresa e empresa de pequeno porte</w:t>
      </w:r>
      <w:r>
        <w:rPr>
          <w:rFonts w:hint="default" w:ascii="Arial" w:hAnsi="Arial" w:cs="Arial"/>
          <w:sz w:val="18"/>
          <w:szCs w:val="18"/>
        </w:rPr>
        <w:t xml:space="preserve"> que se encontrem naquele intervalo de 5% (cinco por cento), na ordem de classificação, para o exercício do mesmo direito, no prazo estabelecido no subitem anterior.</w:t>
      </w:r>
    </w:p>
    <w:p w14:paraId="054F5F4C">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8C7483">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Só poderá haver empate entre propostas iguais (não seguidas de lances), ou entre lances finais da fase fechada do modo de disputa aberto e fechado. </w:t>
      </w:r>
    </w:p>
    <w:p w14:paraId="5FFBF47F">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Havendo eventual empate entre propostas ou lances, o critério de desempate será aquele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"art60" </w:instrText>
      </w:r>
      <w:r>
        <w:rPr>
          <w:rFonts w:hint="default" w:ascii="Arial" w:hAnsi="Arial" w:cs="Arial"/>
          <w:sz w:val="18"/>
          <w:szCs w:val="18"/>
        </w:rPr>
        <w:fldChar w:fldCharType="separate"/>
      </w:r>
      <w:r>
        <w:rPr>
          <w:rStyle w:val="324"/>
          <w:rFonts w:hint="default" w:ascii="Arial" w:hAnsi="Arial" w:cs="Arial"/>
          <w:sz w:val="18"/>
          <w:szCs w:val="18"/>
        </w:rPr>
        <w:t>art. 60 da Lei nº 14.133, de 2021</w:t>
      </w:r>
      <w:r>
        <w:rPr>
          <w:rStyle w:val="324"/>
          <w:rFonts w:hint="default" w:ascii="Arial" w:hAnsi="Arial" w:cs="Arial"/>
          <w:sz w:val="18"/>
          <w:szCs w:val="18"/>
        </w:rPr>
        <w:fldChar w:fldCharType="end"/>
      </w:r>
      <w:r>
        <w:rPr>
          <w:rFonts w:hint="default" w:ascii="Arial" w:hAnsi="Arial" w:cs="Arial"/>
          <w:sz w:val="18"/>
          <w:szCs w:val="18"/>
        </w:rPr>
        <w:t>, nesta ordem:</w:t>
      </w:r>
    </w:p>
    <w:p w14:paraId="4EB6CE88">
      <w:pPr>
        <w:pStyle w:val="305"/>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disputa final, hipótese em que os licitantes empatados poderão apresentar nova proposta em ato contínuo à classificação;</w:t>
      </w:r>
    </w:p>
    <w:p w14:paraId="1C2C4F38">
      <w:pPr>
        <w:pStyle w:val="305"/>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avaliação do desempenho contratual prévio dos licitantes, para a qual deverão preferencialmente ser utilizados registros cadastrais para efeito de atesto de cumprimento de obrigações previstos nesta Lei;</w:t>
      </w:r>
    </w:p>
    <w:p w14:paraId="5C38854A">
      <w:pPr>
        <w:pStyle w:val="305"/>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ações de equidade entre homens e mulheres no ambiente de trabalho, conforme regulamento;</w:t>
      </w:r>
    </w:p>
    <w:p w14:paraId="6CE66482">
      <w:pPr>
        <w:pStyle w:val="305"/>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programa de integridade, conforme orientações dos órgãos de controle.</w:t>
      </w:r>
    </w:p>
    <w:p w14:paraId="6FD0029A">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Persistindo o empate, será assegurada preferência, sucessivamente, aos bens e serviços produzidos ou prestados por:</w:t>
      </w:r>
    </w:p>
    <w:p w14:paraId="48D0F7A2">
      <w:pPr>
        <w:pStyle w:val="305"/>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6955BA8">
      <w:pPr>
        <w:pStyle w:val="305"/>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brasileiras;</w:t>
      </w:r>
    </w:p>
    <w:p w14:paraId="0CCDFB55">
      <w:pPr>
        <w:pStyle w:val="305"/>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que invistam em pesquisa e no desenvolvimento de tecnologia no País;</w:t>
      </w:r>
    </w:p>
    <w:p w14:paraId="50E1AF0E">
      <w:pPr>
        <w:pStyle w:val="305"/>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empresas que comprovem a prática de mitigação, nos termos da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":~:text=LEI%20N%C2%BA%2012.187%2C%20DE%2029%20DE%20DEZEMBRO%20DE%202009.&amp;text=Institui%20a%20Pol%C3%ADtica%20Nacional%20sobre,PNMC%20e%20d%C3%A1%20outras%20provid%C3%AAncias." </w:instrText>
      </w:r>
      <w:r>
        <w:rPr>
          <w:rFonts w:hint="default" w:ascii="Arial" w:hAnsi="Arial" w:cs="Arial"/>
          <w:sz w:val="18"/>
          <w:szCs w:val="18"/>
        </w:rPr>
        <w:fldChar w:fldCharType="separate"/>
      </w:r>
      <w:r>
        <w:rPr>
          <w:rStyle w:val="324"/>
          <w:rFonts w:hint="default" w:ascii="Arial" w:hAnsi="Arial" w:cs="Arial"/>
          <w:sz w:val="18"/>
          <w:szCs w:val="18"/>
        </w:rPr>
        <w:t>Lei nº 12.187, de 29 de dezembro de 2009</w:t>
      </w:r>
      <w:r>
        <w:rPr>
          <w:rStyle w:val="324"/>
          <w:rFonts w:hint="default" w:ascii="Arial" w:hAnsi="Arial" w:cs="Arial"/>
          <w:sz w:val="18"/>
          <w:szCs w:val="18"/>
        </w:rPr>
        <w:fldChar w:fldCharType="end"/>
      </w:r>
      <w:r>
        <w:rPr>
          <w:rFonts w:hint="default" w:ascii="Arial" w:hAnsi="Arial" w:cs="Arial"/>
          <w:sz w:val="18"/>
          <w:szCs w:val="18"/>
        </w:rPr>
        <w:t>.</w:t>
      </w:r>
    </w:p>
    <w:p w14:paraId="78113A2D">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Encerrada a etapa de envio de lances da sessão pública, na hipótese da proposta do primeiro colocado permanecer acima do preço máximo ou inferior ao desconto definido para a contratação, o Agente de Contratação poderá negociar condições mais vantajosas, após definido o resultado do julgamento.</w:t>
      </w:r>
    </w:p>
    <w:p w14:paraId="66CB3C16">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1B9B05E">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será realizada por meio do sistema, podendo ser acompanhada pelos demais licitantes.</w:t>
      </w:r>
    </w:p>
    <w:p w14:paraId="0F80FA87">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resultado da negociação será divulgado a todos os licitantes e anexado aos autos do processo licitatório</w:t>
      </w:r>
    </w:p>
    <w:p w14:paraId="4BF858C0">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4A1BB3A0">
      <w:pPr>
        <w:pStyle w:val="304"/>
        <w:numPr>
          <w:ilvl w:val="2"/>
          <w:numId w:val="6"/>
        </w:numPr>
        <w:tabs>
          <w:tab w:val="left" w:pos="720"/>
        </w:tabs>
        <w:spacing w:before="0" w:after="0" w:line="360" w:lineRule="auto"/>
        <w:ind w:left="0" w:firstLine="0"/>
        <w:rPr>
          <w:rFonts w:hint="default" w:ascii="Arial" w:hAnsi="Arial" w:cs="Arial"/>
          <w:iCs/>
          <w:sz w:val="18"/>
          <w:szCs w:val="18"/>
        </w:rPr>
      </w:pPr>
      <w:r>
        <w:rPr>
          <w:rFonts w:hint="default" w:ascii="Arial" w:hAnsi="Arial" w:cs="Arial"/>
          <w:sz w:val="18"/>
          <w:szCs w:val="18"/>
        </w:rPr>
        <w:t>É facultado ao Agente de Contratação prorrogar o prazo estabelecido, a partir de solicitação fundamentada feita no chat pelo licitante, antes de findo o prazo.</w:t>
      </w:r>
      <w:bookmarkStart w:id="58" w:name="_GoBack"/>
      <w:bookmarkEnd w:id="58"/>
    </w:p>
    <w:p w14:paraId="7056EEE9">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Após a negociação do preço, o Agente de Contratação iniciará a fase de aceitação e julgamento da proposta.</w:t>
      </w:r>
    </w:p>
    <w:p w14:paraId="7182F7AC">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446104B2">
      <w:pPr>
        <w:pStyle w:val="303"/>
        <w:tabs>
          <w:tab w:val="left" w:pos="851"/>
          <w:tab w:val="left" w:pos="993"/>
        </w:tabs>
        <w:spacing w:before="0" w:after="0" w:line="240" w:lineRule="auto"/>
        <w:rPr>
          <w:rFonts w:hint="default" w:ascii="Arial" w:hAnsi="Arial" w:cs="Arial"/>
          <w:sz w:val="18"/>
          <w:szCs w:val="18"/>
        </w:rPr>
      </w:pPr>
    </w:p>
    <w:p w14:paraId="617BED21">
      <w:pPr>
        <w:pStyle w:val="220"/>
        <w:numPr>
          <w:ilvl w:val="0"/>
          <w:numId w:val="5"/>
        </w:numPr>
        <w:tabs>
          <w:tab w:val="left" w:pos="-6285"/>
        </w:tabs>
        <w:spacing w:line="360" w:lineRule="auto"/>
        <w:ind w:left="0" w:leftChars="0" w:firstLine="0" w:firstLineChars="0"/>
        <w:jc w:val="both"/>
        <w:rPr>
          <w:rFonts w:hint="default" w:ascii="Arial" w:hAnsi="Arial" w:cs="Arial"/>
          <w:b/>
          <w:sz w:val="18"/>
          <w:szCs w:val="18"/>
        </w:rPr>
      </w:pPr>
      <w:r>
        <w:rPr>
          <w:rFonts w:hint="default" w:ascii="Arial" w:hAnsi="Arial" w:cs="Arial"/>
          <w:b/>
          <w:sz w:val="18"/>
          <w:szCs w:val="18"/>
        </w:rPr>
        <w:t>DA FASE DE JULGAMENTO</w:t>
      </w:r>
    </w:p>
    <w:p w14:paraId="52FD9CD5">
      <w:pPr>
        <w:pStyle w:val="220"/>
        <w:numPr>
          <w:ilvl w:val="1"/>
          <w:numId w:val="7"/>
        </w:numPr>
        <w:tabs>
          <w:tab w:val="left" w:pos="-6285"/>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Encerrada a etapa de negociação, o pregoeiro verificará se o licitante provisoriamente classificado em primeiro lugar atende às condições de participação no certame, conforme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"art14" </w:instrText>
      </w:r>
      <w:r>
        <w:rPr>
          <w:rFonts w:hint="default" w:ascii="Arial" w:hAnsi="Arial" w:cs="Arial"/>
          <w:sz w:val="18"/>
          <w:szCs w:val="18"/>
        </w:rPr>
        <w:fldChar w:fldCharType="separate"/>
      </w:r>
      <w:r>
        <w:rPr>
          <w:rStyle w:val="324"/>
          <w:rFonts w:hint="default" w:ascii="Arial" w:hAnsi="Arial" w:cs="Arial"/>
          <w:sz w:val="18"/>
          <w:szCs w:val="18"/>
        </w:rPr>
        <w:t>art. 14 da Lei nº 14.133/2021</w:t>
      </w:r>
      <w:r>
        <w:rPr>
          <w:rStyle w:val="324"/>
          <w:rFonts w:hint="default" w:ascii="Arial" w:hAnsi="Arial" w:cs="Arial"/>
          <w:sz w:val="18"/>
          <w:szCs w:val="18"/>
        </w:rPr>
        <w:fldChar w:fldCharType="end"/>
      </w:r>
      <w:r>
        <w:rPr>
          <w:rFonts w:hint="default" w:ascii="Arial" w:hAnsi="Arial" w:cs="Arial"/>
          <w:sz w:val="18"/>
          <w:szCs w:val="18"/>
        </w:rPr>
        <w:t>, legislação correlata e no item 3.8 do edital, especialmente quanto à existência de sanção que impeça a participação no certame ou a futura contratação, mediante a consulta aos seguintes cadastros:</w:t>
      </w:r>
    </w:p>
    <w:p w14:paraId="3FAAFE50">
      <w:pPr>
        <w:pStyle w:val="220"/>
        <w:spacing w:line="360" w:lineRule="auto"/>
        <w:ind w:left="0"/>
        <w:jc w:val="both"/>
        <w:rPr>
          <w:rFonts w:hint="default" w:ascii="Arial" w:hAnsi="Arial" w:cs="Arial"/>
          <w:sz w:val="18"/>
          <w:szCs w:val="18"/>
        </w:rPr>
      </w:pPr>
      <w:r>
        <w:rPr>
          <w:rFonts w:hint="default" w:ascii="Arial" w:hAnsi="Arial" w:cs="Arial"/>
          <w:sz w:val="18"/>
          <w:szCs w:val="18"/>
        </w:rPr>
        <w:t xml:space="preserve">a) SICAF;  </w:t>
      </w:r>
    </w:p>
    <w:p w14:paraId="3E55520A">
      <w:pPr>
        <w:pStyle w:val="220"/>
        <w:spacing w:line="360" w:lineRule="auto"/>
        <w:ind w:left="0"/>
        <w:jc w:val="both"/>
        <w:rPr>
          <w:rFonts w:hint="default" w:ascii="Arial" w:hAnsi="Arial" w:cs="Arial"/>
          <w:sz w:val="18"/>
          <w:szCs w:val="18"/>
        </w:rPr>
      </w:pPr>
      <w:r>
        <w:rPr>
          <w:rFonts w:hint="default" w:ascii="Arial" w:hAnsi="Arial" w:cs="Arial"/>
          <w:sz w:val="18"/>
          <w:szCs w:val="18"/>
        </w:rPr>
        <w:t>b) Cadastro Nacional de Empresas Inidôneas e Suspensas - CEIS,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"https://www.portaltransparencia.gov.br/sancoes/ceis" </w:instrText>
      </w:r>
      <w:r>
        <w:rPr>
          <w:rFonts w:hint="default" w:ascii="Arial" w:hAnsi="Arial" w:cs="Arial"/>
          <w:sz w:val="18"/>
          <w:szCs w:val="18"/>
        </w:rPr>
        <w:fldChar w:fldCharType="separate"/>
      </w:r>
      <w:r>
        <w:rPr>
          <w:rStyle w:val="324"/>
          <w:rFonts w:hint="default" w:ascii="Arial" w:hAnsi="Arial" w:cs="Arial"/>
          <w:color w:val="auto"/>
          <w:sz w:val="18"/>
          <w:szCs w:val="18"/>
        </w:rPr>
        <w:t>https://www.portaltransparencia.gov.br/sancoes/ceis</w:t>
      </w:r>
      <w:r>
        <w:rPr>
          <w:rStyle w:val="324"/>
          <w:rFonts w:hint="default" w:ascii="Arial" w:hAnsi="Arial" w:cs="Arial"/>
          <w:color w:val="auto"/>
          <w:sz w:val="18"/>
          <w:szCs w:val="18"/>
        </w:rPr>
        <w:fldChar w:fldCharType="end"/>
      </w:r>
      <w:r>
        <w:rPr>
          <w:rFonts w:hint="default" w:ascii="Arial" w:hAnsi="Arial" w:cs="Arial"/>
          <w:sz w:val="18"/>
          <w:szCs w:val="18"/>
        </w:rPr>
        <w:t xml:space="preserve">); </w:t>
      </w:r>
    </w:p>
    <w:p w14:paraId="0D26E3E0">
      <w:pPr>
        <w:pStyle w:val="220"/>
        <w:spacing w:line="360" w:lineRule="auto"/>
        <w:ind w:left="0"/>
        <w:jc w:val="both"/>
        <w:rPr>
          <w:rFonts w:hint="default" w:ascii="Arial" w:hAnsi="Arial" w:cs="Arial"/>
          <w:sz w:val="18"/>
          <w:szCs w:val="18"/>
        </w:rPr>
      </w:pPr>
      <w:r>
        <w:rPr>
          <w:rFonts w:hint="default" w:ascii="Arial" w:hAnsi="Arial" w:cs="Arial"/>
          <w:sz w:val="18"/>
          <w:szCs w:val="18"/>
        </w:rPr>
        <w:t>c) Tribunal de Contas do Estado de Minas Gerais - TCE-MG;</w:t>
      </w:r>
    </w:p>
    <w:p w14:paraId="110D1F42">
      <w:pPr>
        <w:pStyle w:val="220"/>
        <w:spacing w:line="360" w:lineRule="auto"/>
        <w:ind w:left="0"/>
        <w:jc w:val="both"/>
        <w:rPr>
          <w:rFonts w:hint="default" w:ascii="Arial" w:hAnsi="Arial" w:cs="Arial"/>
          <w:sz w:val="18"/>
          <w:szCs w:val="18"/>
        </w:rPr>
      </w:pPr>
      <w:r>
        <w:rPr>
          <w:rFonts w:hint="default" w:ascii="Arial" w:hAnsi="Arial" w:cs="Arial"/>
          <w:sz w:val="18"/>
          <w:szCs w:val="18"/>
        </w:rPr>
        <w:t xml:space="preserve">d) Cadastro Geral de Fornecedores do Estado de Minas Gerais (CAGEF), gerenciado pela Secretaria de Estado de Planejamento e Gestão - SEPLAG; </w:t>
      </w:r>
      <w:r>
        <w:rPr>
          <w:rFonts w:hint="default" w:ascii="Arial" w:hAnsi="Arial" w:cs="Arial"/>
          <w:sz w:val="18"/>
          <w:szCs w:val="18"/>
          <w:shd w:val="clear" w:color="auto" w:fill="FFFFFF"/>
        </w:rPr>
        <w:t>só induzirá ao impedimento de licitar e de contratar com o Município de Cataguases caso a referida penalidade seja a declaração de inidoneidade.</w:t>
      </w:r>
    </w:p>
    <w:p w14:paraId="17E60CE5">
      <w:pPr>
        <w:pStyle w:val="220"/>
        <w:spacing w:line="360" w:lineRule="auto"/>
        <w:ind w:left="0"/>
        <w:jc w:val="both"/>
        <w:rPr>
          <w:rFonts w:hint="default" w:ascii="Arial" w:hAnsi="Arial" w:cs="Arial"/>
          <w:sz w:val="18"/>
          <w:szCs w:val="18"/>
        </w:rPr>
      </w:pPr>
      <w:r>
        <w:rPr>
          <w:rFonts w:hint="default" w:ascii="Arial" w:hAnsi="Arial" w:cs="Arial"/>
          <w:sz w:val="18"/>
          <w:szCs w:val="18"/>
        </w:rPr>
        <w:t>e) Cadastro Nacional de Empresas Punidas – CNEP,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"https://www.portaltransparencia.gov.br/sancoes/cnep" </w:instrText>
      </w:r>
      <w:r>
        <w:rPr>
          <w:rFonts w:hint="default" w:ascii="Arial" w:hAnsi="Arial" w:cs="Arial"/>
          <w:sz w:val="18"/>
          <w:szCs w:val="18"/>
        </w:rPr>
        <w:fldChar w:fldCharType="separate"/>
      </w:r>
      <w:r>
        <w:rPr>
          <w:rStyle w:val="324"/>
          <w:rFonts w:hint="default" w:ascii="Arial" w:hAnsi="Arial" w:cs="Arial"/>
          <w:color w:val="auto"/>
          <w:sz w:val="18"/>
          <w:szCs w:val="18"/>
        </w:rPr>
        <w:t>https://www.portaltransparencia.gov.br/sancoes/cnep</w:t>
      </w:r>
      <w:r>
        <w:rPr>
          <w:rStyle w:val="324"/>
          <w:rFonts w:hint="default" w:ascii="Arial" w:hAnsi="Arial" w:cs="Arial"/>
          <w:color w:val="auto"/>
          <w:sz w:val="18"/>
          <w:szCs w:val="18"/>
        </w:rPr>
        <w:fldChar w:fldCharType="end"/>
      </w:r>
      <w:r>
        <w:rPr>
          <w:rFonts w:hint="default" w:ascii="Arial" w:hAnsi="Arial" w:cs="Arial"/>
          <w:sz w:val="18"/>
          <w:szCs w:val="18"/>
        </w:rPr>
        <w:t>).</w:t>
      </w:r>
    </w:p>
    <w:p w14:paraId="725EB89B">
      <w:pPr>
        <w:pStyle w:val="220"/>
        <w:spacing w:line="360" w:lineRule="auto"/>
        <w:ind w:left="0"/>
        <w:jc w:val="both"/>
        <w:rPr>
          <w:rFonts w:hint="default" w:ascii="Arial" w:hAnsi="Arial" w:cs="Arial"/>
          <w:sz w:val="18"/>
          <w:szCs w:val="18"/>
        </w:rPr>
      </w:pPr>
      <w:r>
        <w:rPr>
          <w:rFonts w:hint="default" w:ascii="Arial" w:hAnsi="Arial" w:cs="Arial"/>
          <w:sz w:val="18"/>
          <w:szCs w:val="18"/>
        </w:rPr>
        <w:t xml:space="preserve">f) Cadastro Municipal de Empresas Inidôneas e Suspensas </w:t>
      </w:r>
    </w:p>
    <w:p w14:paraId="256E8DBB">
      <w:pPr>
        <w:pStyle w:val="303"/>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A consulta aos cadastros será realizada em nome da empresa licitante e também de seu sócio majoritário, por força da vedação de que trata 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":~:text=%C3%A0s%20seguintes%20comina%C3%A7%C3%B5es%3A-,Art.,n%C2%BA%2012.120%2C%20de%202009)." </w:instrText>
      </w:r>
      <w:r>
        <w:rPr>
          <w:rFonts w:hint="default" w:ascii="Arial" w:hAnsi="Arial" w:cs="Arial"/>
          <w:sz w:val="18"/>
          <w:szCs w:val="18"/>
        </w:rPr>
        <w:fldChar w:fldCharType="separate"/>
      </w:r>
      <w:r>
        <w:rPr>
          <w:rStyle w:val="324"/>
          <w:rFonts w:hint="default" w:ascii="Arial" w:hAnsi="Arial" w:cs="Arial"/>
          <w:sz w:val="18"/>
          <w:szCs w:val="18"/>
        </w:rPr>
        <w:t>artigo 12 da Lei n° 8.429, de 1992</w:t>
      </w:r>
      <w:r>
        <w:rPr>
          <w:rStyle w:val="324"/>
          <w:rFonts w:hint="default" w:ascii="Arial" w:hAnsi="Arial" w:cs="Arial"/>
          <w:sz w:val="18"/>
          <w:szCs w:val="18"/>
        </w:rPr>
        <w:fldChar w:fldCharType="end"/>
      </w:r>
      <w:r>
        <w:rPr>
          <w:rFonts w:hint="default" w:ascii="Arial" w:hAnsi="Arial" w:cs="Arial"/>
          <w:sz w:val="18"/>
          <w:szCs w:val="18"/>
        </w:rPr>
        <w:t xml:space="preserve">, </w:t>
      </w:r>
      <w:r>
        <w:rPr>
          <w:rFonts w:hint="default" w:ascii="Arial" w:hAnsi="Arial" w:cs="Arial"/>
          <w:bCs/>
          <w:sz w:val="18"/>
          <w:szCs w:val="18"/>
        </w:rPr>
        <w:t>que prevê, dentre as sanções impostas ao responsável pela prática de ato de improbidade administrativa, a proibição de contratar com o Poder Público, inclusive por intermédio de pessoa jurídica da qual seja sócio majoritário.</w:t>
      </w:r>
    </w:p>
    <w:p w14:paraId="5BE311D3">
      <w:pPr>
        <w:pStyle w:val="303"/>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conste na Consulta de Situação do licitante a existência de Ocorrências Impeditivas Indiretas, o gestor diligenciará para verificar se houve fraude por parte das empresas apontadas no Relatório de Ocorrências Impeditivas Indiretas.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4"/>
          <w:rFonts w:hint="default" w:ascii="Arial" w:hAnsi="Arial" w:cs="Arial"/>
          <w:sz w:val="18"/>
          <w:szCs w:val="18"/>
        </w:rPr>
        <w:t xml:space="preserve">IN nº 3/2018, art. 29, </w:t>
      </w:r>
      <w:r>
        <w:rPr>
          <w:rStyle w:val="324"/>
          <w:rFonts w:hint="default" w:ascii="Arial" w:hAnsi="Arial" w:cs="Arial"/>
          <w:i/>
          <w:iCs/>
          <w:sz w:val="18"/>
          <w:szCs w:val="18"/>
        </w:rPr>
        <w:t>caput</w:t>
      </w:r>
      <w:r>
        <w:rPr>
          <w:rStyle w:val="324"/>
          <w:rFonts w:hint="default" w:ascii="Arial" w:hAnsi="Arial" w:cs="Arial"/>
          <w:i/>
          <w:iCs/>
          <w:sz w:val="18"/>
          <w:szCs w:val="18"/>
        </w:rPr>
        <w:fldChar w:fldCharType="end"/>
      </w:r>
      <w:r>
        <w:rPr>
          <w:rFonts w:hint="default" w:ascii="Arial" w:hAnsi="Arial" w:cs="Arial"/>
          <w:sz w:val="18"/>
          <w:szCs w:val="18"/>
        </w:rPr>
        <w:t>)</w:t>
      </w:r>
    </w:p>
    <w:p w14:paraId="7F4AB838">
      <w:pPr>
        <w:pStyle w:val="304"/>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tentativa de burla será verificada por meio dos vínculos societários, linhas de fornecimento similares, dentre outros.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4"/>
          <w:rFonts w:hint="default" w:ascii="Arial" w:hAnsi="Arial" w:cs="Arial"/>
          <w:sz w:val="18"/>
          <w:szCs w:val="18"/>
        </w:rPr>
        <w:t>IN nº 3/2018, art. 29, §1º</w:t>
      </w:r>
      <w:r>
        <w:rPr>
          <w:rStyle w:val="324"/>
          <w:rFonts w:hint="default" w:ascii="Arial" w:hAnsi="Arial" w:cs="Arial"/>
          <w:sz w:val="18"/>
          <w:szCs w:val="18"/>
        </w:rPr>
        <w:fldChar w:fldCharType="end"/>
      </w:r>
      <w:r>
        <w:rPr>
          <w:rFonts w:hint="default" w:ascii="Arial" w:hAnsi="Arial" w:cs="Arial"/>
          <w:sz w:val="18"/>
          <w:szCs w:val="18"/>
        </w:rPr>
        <w:t>).</w:t>
      </w:r>
    </w:p>
    <w:p w14:paraId="0C44FBFF">
      <w:pPr>
        <w:pStyle w:val="304"/>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será convocado para manifestação previamente a uma eventual desclassificação.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4"/>
          <w:rFonts w:hint="default" w:ascii="Arial" w:hAnsi="Arial" w:cs="Arial"/>
          <w:sz w:val="18"/>
          <w:szCs w:val="18"/>
        </w:rPr>
        <w:t>IN nº 3/2018, art. 29, §2º</w:t>
      </w:r>
      <w:r>
        <w:rPr>
          <w:rStyle w:val="324"/>
          <w:rFonts w:hint="default" w:ascii="Arial" w:hAnsi="Arial" w:cs="Arial"/>
          <w:sz w:val="18"/>
          <w:szCs w:val="18"/>
        </w:rPr>
        <w:fldChar w:fldCharType="end"/>
      </w:r>
      <w:r>
        <w:rPr>
          <w:rFonts w:hint="default" w:ascii="Arial" w:hAnsi="Arial" w:cs="Arial"/>
          <w:sz w:val="18"/>
          <w:szCs w:val="18"/>
        </w:rPr>
        <w:t>).</w:t>
      </w:r>
    </w:p>
    <w:p w14:paraId="44D7EB39">
      <w:pPr>
        <w:pStyle w:val="304"/>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Constatada a existência de sanção, o licitante será reputado inabilitado, por falta de condição de participação.</w:t>
      </w:r>
    </w:p>
    <w:p w14:paraId="1D38E720">
      <w:pPr>
        <w:pStyle w:val="303"/>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atendidas as condições de participação, será iniciado o procedimento de habilitação.</w:t>
      </w:r>
    </w:p>
    <w:p w14:paraId="493ADD0E">
      <w:pPr>
        <w:pStyle w:val="303"/>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o licitante provisoriamente classificado em primeiro lugar tenha se utilizado de algum tratamento favorecido às ME/EPPs, o Agente de Contratação verificará se faz jus ao benefício, em conformidade com o item 4.6 deste edital.</w:t>
      </w:r>
    </w:p>
    <w:p w14:paraId="47AC47C8">
      <w:pPr>
        <w:pStyle w:val="303"/>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4"/>
          <w:rFonts w:hint="default" w:ascii="Arial" w:hAnsi="Arial" w:cs="Arial"/>
          <w:sz w:val="18"/>
          <w:szCs w:val="18"/>
        </w:rPr>
        <w:t>artigo 29 a 35 da IN SEGES nº 73, de 30 de setembro de 2022</w:t>
      </w:r>
      <w:r>
        <w:rPr>
          <w:rStyle w:val="324"/>
          <w:rFonts w:hint="default" w:ascii="Arial" w:hAnsi="Arial" w:cs="Arial"/>
          <w:sz w:val="18"/>
          <w:szCs w:val="18"/>
        </w:rPr>
        <w:fldChar w:fldCharType="end"/>
      </w:r>
      <w:r>
        <w:rPr>
          <w:rFonts w:hint="default" w:ascii="Arial" w:hAnsi="Arial" w:cs="Arial"/>
          <w:sz w:val="18"/>
          <w:szCs w:val="18"/>
        </w:rPr>
        <w:t>.</w:t>
      </w:r>
    </w:p>
    <w:p w14:paraId="11517942">
      <w:pPr>
        <w:pStyle w:val="303"/>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Será desclassificada a proposta vencedora que: </w:t>
      </w:r>
    </w:p>
    <w:p w14:paraId="4C35B94B">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contiver vícios insanáveis;</w:t>
      </w:r>
    </w:p>
    <w:p w14:paraId="76DACB89">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obedecer às especificações técnicas contidas no Termo de Referência;</w:t>
      </w:r>
    </w:p>
    <w:p w14:paraId="01AAE939">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preços inexequíveis ou permanecerem acima do preço máximo definido para a contratação;</w:t>
      </w:r>
    </w:p>
    <w:p w14:paraId="030A15B5">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tiverem sua exequibilidade demonstrada, quando exigido pela Administração;</w:t>
      </w:r>
    </w:p>
    <w:p w14:paraId="0A79F543">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desconformidade com quaisquer outras exigências deste Edital ou seus anexos, desde que insanável.</w:t>
      </w:r>
    </w:p>
    <w:p w14:paraId="7025C89A">
      <w:pPr>
        <w:pStyle w:val="303"/>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bens e serviços em geral, é indício de inexequibilidade das propostas valores inferiores a 50% (cinquenta por cento) do valor orçado pela Administração.</w:t>
      </w:r>
    </w:p>
    <w:p w14:paraId="2D3E9A47">
      <w:pPr>
        <w:pStyle w:val="304"/>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inexequibilidade, na hipótese de que trata o </w:t>
      </w:r>
      <w:r>
        <w:rPr>
          <w:rFonts w:hint="default" w:ascii="Arial" w:hAnsi="Arial" w:cs="Arial"/>
          <w:b/>
          <w:bCs/>
          <w:sz w:val="18"/>
          <w:szCs w:val="18"/>
        </w:rPr>
        <w:t>caput</w:t>
      </w:r>
      <w:r>
        <w:rPr>
          <w:rFonts w:hint="default" w:ascii="Arial" w:hAnsi="Arial" w:cs="Arial"/>
          <w:sz w:val="18"/>
          <w:szCs w:val="18"/>
        </w:rPr>
        <w:t>, só será considerada após diligência do Agente de Contratação, que comprove:</w:t>
      </w:r>
    </w:p>
    <w:p w14:paraId="0BCC7E24">
      <w:pPr>
        <w:pStyle w:val="305"/>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que o custo do licitante ultrapassa o valor da proposta; e</w:t>
      </w:r>
    </w:p>
    <w:p w14:paraId="1B7F41FF">
      <w:pPr>
        <w:pStyle w:val="305"/>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inexistirem custos de oportunidade capazes de justificar o vulto da oferta.</w:t>
      </w:r>
    </w:p>
    <w:p w14:paraId="478B798C">
      <w:pPr>
        <w:pStyle w:val="303"/>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Em contratação de serviços de engenharia, além das disposições acima, a análise de exequibilidade e sobrepreço considerará o seguinte:</w:t>
      </w:r>
    </w:p>
    <w:p w14:paraId="693D3FEC">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Nos regimes de execução por tarefa, empreitada por preço global ou empreitada integral, semi-integrada ou integrada, a caracterização do sobrepreço se dará pela su</w:t>
      </w:r>
    </w:p>
    <w:p w14:paraId="32D74374">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peração do valor global estimado;</w:t>
      </w:r>
    </w:p>
    <w:p w14:paraId="41D616BB">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No regime de empreitada por preço unitário, a caracterização do sobrepreço se dará pela superação do valor global estimado e </w:t>
      </w:r>
      <w:r>
        <w:rPr>
          <w:rFonts w:hint="default" w:ascii="Arial" w:hAnsi="Arial" w:cs="Arial"/>
          <w:iCs/>
          <w:sz w:val="18"/>
          <w:szCs w:val="18"/>
        </w:rPr>
        <w:t>pela superação de custo unitário tido como relevante, conforme planilha anexa ao edital;</w:t>
      </w:r>
    </w:p>
    <w:p w14:paraId="52916014">
      <w:pPr>
        <w:pStyle w:val="304"/>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No caso de serviços de engenharia, serão consideradas inexequíveis as propostas cujos valores forem inferiores a 75% (setenta e cinco por cento) do valor orçado pela Administração, independentemente do regime de execução.</w:t>
      </w:r>
    </w:p>
    <w:p w14:paraId="6C60E168">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29FA698">
      <w:pPr>
        <w:pStyle w:val="303"/>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 houver indícios de inexequibilidade da proposta de preço, ou em caso da necessidade de esclarecimentos complementares, poderão ser efetuadas diligências, para que a empresa comprove a exequibilidade da proposta.</w:t>
      </w:r>
    </w:p>
    <w:p w14:paraId="5325B6D2">
      <w:pPr>
        <w:pStyle w:val="303"/>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31CB98">
      <w:pPr>
        <w:pStyle w:val="304"/>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FA4F3B8">
      <w:pPr>
        <w:pStyle w:val="303"/>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Erros no preenchimento da planilha não constituem motivo para a desclassificação da proposta. A planilha poderá́ ser ajustada pelo fornecedor, no prazo indicado pelo sistema, desde que não haja majoração do preço.</w:t>
      </w:r>
    </w:p>
    <w:p w14:paraId="5B3B472E">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O ajuste de que trata este dispositivo se limita a sanar erros ou falhas que não alterem a substância das propostas;</w:t>
      </w:r>
    </w:p>
    <w:p w14:paraId="2797EDA4">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Considera-se erro no preenchimento da planilha passível de correção a indicação de recolhimento de impostos e contribuições na forma do Simples Nacional, quando não cabível esse regime.</w:t>
      </w:r>
    </w:p>
    <w:p w14:paraId="51959238">
      <w:pPr>
        <w:pStyle w:val="303"/>
        <w:numPr>
          <w:ilvl w:val="1"/>
          <w:numId w:val="7"/>
        </w:numPr>
        <w:tabs>
          <w:tab w:val="left" w:pos="709"/>
          <w:tab w:val="left" w:pos="851"/>
          <w:tab w:val="left" w:pos="993"/>
        </w:tabs>
        <w:spacing w:before="0" w:after="0" w:line="360" w:lineRule="auto"/>
        <w:ind w:left="0" w:firstLine="0"/>
        <w:rPr>
          <w:rFonts w:hint="default" w:ascii="Arial" w:hAnsi="Arial" w:cs="Arial"/>
          <w:b/>
          <w:i/>
          <w:iCs/>
          <w:sz w:val="18"/>
          <w:szCs w:val="18"/>
        </w:rPr>
      </w:pPr>
      <w:r>
        <w:rPr>
          <w:rFonts w:hint="default" w:ascii="Arial" w:hAnsi="Arial" w:cs="Arial"/>
          <w:b/>
          <w:sz w:val="18"/>
          <w:szCs w:val="18"/>
        </w:rPr>
        <w:t xml:space="preserve"> Caso o Termo de Referência exija a apresentação de amostra, o licitante classificado em primeiro lugar deverá apresentá-la, conforme disciplinado no Termo de Referência, sob pena de não aceitação da proposta.</w:t>
      </w:r>
    </w:p>
    <w:p w14:paraId="1AC01571">
      <w:pPr>
        <w:pStyle w:val="303"/>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Os resultados das avaliações serão divulgados por meio de mensagem no sistema.</w:t>
      </w:r>
    </w:p>
    <w:p w14:paraId="47D72262">
      <w:pPr>
        <w:pStyle w:val="303"/>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não haver entrega da amostra ou ocorrer atraso na entrega, sem justificativa aceita pelo Agente de Contratação, ou havendo entrega de amostra fora das especificações previstas neste Edital, </w:t>
      </w:r>
      <w:r>
        <w:rPr>
          <w:rFonts w:hint="default" w:ascii="Arial" w:hAnsi="Arial" w:cs="Arial"/>
          <w:b/>
          <w:bCs/>
          <w:sz w:val="18"/>
          <w:szCs w:val="18"/>
        </w:rPr>
        <w:t>a proposta do licitante será recusada.</w:t>
      </w:r>
    </w:p>
    <w:p w14:paraId="34FE2252">
      <w:pPr>
        <w:pStyle w:val="303"/>
        <w:numPr>
          <w:ilvl w:val="1"/>
          <w:numId w:val="7"/>
        </w:numPr>
        <w:tabs>
          <w:tab w:val="left" w:pos="709"/>
          <w:tab w:val="left" w:pos="851"/>
          <w:tab w:val="left" w:pos="993"/>
        </w:tabs>
        <w:spacing w:before="0" w:after="0" w:line="360" w:lineRule="auto"/>
        <w:ind w:left="0" w:firstLine="0"/>
        <w:rPr>
          <w:rFonts w:hint="default" w:ascii="Arial" w:hAnsi="Arial" w:eastAsia="LiberationSerif-Bold"/>
          <w:bCs/>
          <w:sz w:val="18"/>
          <w:szCs w:val="18"/>
          <w:lang w:eastAsia="zh-CN"/>
        </w:rPr>
      </w:pPr>
      <w:r>
        <w:rPr>
          <w:rFonts w:hint="default" w:ascii="Arial" w:hAnsi="Arial" w:cs="Arial"/>
          <w:sz w:val="18"/>
          <w:szCs w:val="18"/>
        </w:rPr>
        <w:t xml:space="preserve">Se a(s) amostra(s) apresentada(s) pelo primeiro classificado não for (em) aceita(s), o Agente 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1F0F6488">
      <w:pPr>
        <w:pStyle w:val="303"/>
        <w:tabs>
          <w:tab w:val="left" w:pos="709"/>
          <w:tab w:val="left" w:pos="851"/>
          <w:tab w:val="left" w:pos="993"/>
        </w:tabs>
        <w:spacing w:before="0" w:after="0" w:line="240" w:lineRule="auto"/>
        <w:rPr>
          <w:rFonts w:hint="default" w:ascii="Arial" w:hAnsi="Arial" w:cs="Arial"/>
          <w:sz w:val="18"/>
          <w:szCs w:val="18"/>
        </w:rPr>
      </w:pPr>
    </w:p>
    <w:p w14:paraId="3490262C">
      <w:pPr>
        <w:pStyle w:val="278"/>
        <w:widowControl w:val="0"/>
        <w:numPr>
          <w:ilvl w:val="0"/>
          <w:numId w:val="0"/>
        </w:numPr>
        <w:tabs>
          <w:tab w:val="clear" w:pos="567"/>
        </w:tabs>
        <w:autoSpaceDN w:val="0"/>
        <w:spacing w:before="0" w:line="360" w:lineRule="auto"/>
        <w:rPr>
          <w:rFonts w:hint="default" w:ascii="Arial" w:hAnsi="Arial" w:cs="Arial"/>
          <w:sz w:val="18"/>
          <w:szCs w:val="18"/>
        </w:rPr>
      </w:pPr>
      <w:bookmarkStart w:id="19" w:name="_Toc122606109"/>
      <w:bookmarkEnd w:id="19"/>
      <w:r>
        <w:rPr>
          <w:rFonts w:hint="default" w:ascii="Arial" w:hAnsi="Arial" w:cs="Arial"/>
          <w:sz w:val="18"/>
          <w:szCs w:val="18"/>
        </w:rPr>
        <w:t>8   DA FASE DE HABILITAÇÃO</w:t>
      </w:r>
    </w:p>
    <w:p w14:paraId="4517BF1F">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documentos previstos no Termo de Referência, necessários e suficientes para demonstrar a capacidade do licitante de realizar o objeto da licitação, serão exigidos para fins de habilitação, nos termos dos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"art62" </w:instrText>
      </w:r>
      <w:r>
        <w:rPr>
          <w:rFonts w:hint="default" w:ascii="Arial" w:hAnsi="Arial" w:cs="Arial"/>
          <w:sz w:val="18"/>
          <w:szCs w:val="18"/>
        </w:rPr>
        <w:fldChar w:fldCharType="separate"/>
      </w:r>
      <w:r>
        <w:rPr>
          <w:rStyle w:val="324"/>
          <w:rFonts w:hint="default" w:ascii="Arial" w:hAnsi="Arial" w:cs="Arial"/>
          <w:sz w:val="18"/>
          <w:szCs w:val="18"/>
        </w:rPr>
        <w:t>arts. 62 a 70 da Lei nº 14.133, de 2021</w:t>
      </w:r>
      <w:r>
        <w:rPr>
          <w:rStyle w:val="324"/>
          <w:rFonts w:hint="default" w:ascii="Arial" w:hAnsi="Arial" w:cs="Arial"/>
          <w:sz w:val="18"/>
          <w:szCs w:val="18"/>
        </w:rPr>
        <w:fldChar w:fldCharType="end"/>
      </w:r>
      <w:r>
        <w:rPr>
          <w:rFonts w:hint="default" w:ascii="Arial" w:hAnsi="Arial" w:cs="Arial"/>
          <w:sz w:val="18"/>
          <w:szCs w:val="18"/>
        </w:rPr>
        <w:t>.</w:t>
      </w:r>
      <w:bookmarkStart w:id="20" w:name="_Ref114663777"/>
      <w:bookmarkEnd w:id="20"/>
    </w:p>
    <w:p w14:paraId="43E5CEEE">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documentação exigida para fins de habilitação jurídica, fiscal, social e trabalhista e econômico-ﬁnanceira, poderá ser substituída pelo registro cadastral no SICAF.</w:t>
      </w:r>
    </w:p>
    <w:p w14:paraId="6D901618">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Quando permitida a participação de empresas estrangeiras que não funcionem no País, as exigências de habilitação serão atendidas mediante documentos equivalentes, inicialmente apresentados em tradução livre.</w:t>
      </w:r>
    </w:p>
    <w:p w14:paraId="5561EF72">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deverão ser anexados na plataforma do Compras Governamentais quando for solicitado pelo pregoeiro, e deverão ser apresentados em original quando for solicitado.</w:t>
      </w:r>
    </w:p>
    <w:p w14:paraId="4623D576">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poderão ser substituídos por registro cadastral emitido por órgão ou entidade pública, desde que o registro tenha sido feito em obediência ao disposto na Lei nº 14.133/2021.</w:t>
      </w:r>
    </w:p>
    <w:p w14:paraId="1643079A">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declaração de que atende aos requisitos de habilitação, e o declarante responderá pela veracidade das informações prestadas, na forma da lei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"art63" </w:instrText>
      </w:r>
      <w:r>
        <w:rPr>
          <w:rFonts w:hint="default" w:ascii="Arial" w:hAnsi="Arial" w:cs="Arial"/>
          <w:sz w:val="18"/>
          <w:szCs w:val="18"/>
        </w:rPr>
        <w:fldChar w:fldCharType="separate"/>
      </w:r>
      <w:r>
        <w:rPr>
          <w:rStyle w:val="324"/>
          <w:rFonts w:hint="default" w:ascii="Arial" w:hAnsi="Arial" w:cs="Arial"/>
          <w:sz w:val="18"/>
          <w:szCs w:val="18"/>
        </w:rPr>
        <w:t>art. 63, I, da Lei nº 14.133/2021</w:t>
      </w:r>
      <w:r>
        <w:rPr>
          <w:rStyle w:val="324"/>
          <w:rFonts w:hint="default" w:ascii="Arial" w:hAnsi="Arial" w:cs="Arial"/>
          <w:sz w:val="18"/>
          <w:szCs w:val="18"/>
        </w:rPr>
        <w:fldChar w:fldCharType="end"/>
      </w:r>
      <w:r>
        <w:rPr>
          <w:rFonts w:hint="default" w:ascii="Arial" w:hAnsi="Arial" w:cs="Arial"/>
          <w:sz w:val="18"/>
          <w:szCs w:val="18"/>
        </w:rPr>
        <w:t>).</w:t>
      </w:r>
    </w:p>
    <w:p w14:paraId="7D1B7067">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39EB824">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7C4183">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habilitação será verificada por meio do Sicaf, nos documentos por ele abrangidos.</w:t>
      </w:r>
    </w:p>
    <w:p w14:paraId="1C1E15AC">
      <w:pPr>
        <w:tabs>
          <w:tab w:val="left" w:pos="993"/>
        </w:tabs>
        <w:spacing w:line="360" w:lineRule="auto"/>
        <w:jc w:val="both"/>
        <w:rPr>
          <w:rFonts w:hint="default" w:ascii="Arial" w:hAnsi="Arial" w:cs="Arial"/>
          <w:b/>
          <w:sz w:val="18"/>
          <w:szCs w:val="18"/>
        </w:rPr>
      </w:pPr>
      <w:r>
        <w:rPr>
          <w:rFonts w:hint="default" w:ascii="Arial" w:hAnsi="Arial" w:cs="Arial"/>
          <w:b/>
          <w:sz w:val="18"/>
          <w:szCs w:val="18"/>
        </w:rPr>
        <w:t>8.9.1 Nível I – Credenciamento:</w:t>
      </w:r>
    </w:p>
    <w:p w14:paraId="2E7D09B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8.9.1.1 Inscrição CNPJ </w:t>
      </w:r>
    </w:p>
    <w:p w14:paraId="1880768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8.9.1.2 CPF do(s) dirigente (es), sócio(s); </w:t>
      </w:r>
    </w:p>
    <w:p w14:paraId="36476381">
      <w:pPr>
        <w:tabs>
          <w:tab w:val="left" w:pos="993"/>
        </w:tabs>
        <w:jc w:val="both"/>
        <w:rPr>
          <w:rFonts w:hint="default" w:ascii="Arial" w:hAnsi="Arial" w:cs="Arial"/>
          <w:sz w:val="18"/>
          <w:szCs w:val="18"/>
        </w:rPr>
      </w:pPr>
      <w:r>
        <w:rPr>
          <w:rFonts w:hint="default" w:ascii="Arial" w:hAnsi="Arial" w:cs="Arial"/>
          <w:sz w:val="18"/>
          <w:szCs w:val="18"/>
        </w:rPr>
        <w:t xml:space="preserve"> </w:t>
      </w:r>
    </w:p>
    <w:p w14:paraId="29DCB003">
      <w:pPr>
        <w:tabs>
          <w:tab w:val="left" w:pos="993"/>
        </w:tabs>
        <w:spacing w:line="360" w:lineRule="auto"/>
        <w:jc w:val="both"/>
        <w:rPr>
          <w:rFonts w:hint="default" w:ascii="Arial" w:hAnsi="Arial" w:cs="Arial"/>
          <w:b/>
          <w:sz w:val="18"/>
          <w:szCs w:val="18"/>
        </w:rPr>
      </w:pPr>
      <w:r>
        <w:rPr>
          <w:rFonts w:hint="default" w:ascii="Arial" w:hAnsi="Arial" w:cs="Arial"/>
          <w:b/>
          <w:sz w:val="18"/>
          <w:szCs w:val="18"/>
        </w:rPr>
        <w:t>8.9.2 Nível II – Habilitação Jurídica:</w:t>
      </w:r>
    </w:p>
    <w:p w14:paraId="76D4735B">
      <w:pPr>
        <w:tabs>
          <w:tab w:val="left" w:pos="993"/>
        </w:tabs>
        <w:spacing w:line="360" w:lineRule="auto"/>
        <w:jc w:val="both"/>
        <w:rPr>
          <w:rFonts w:hint="default" w:ascii="Arial" w:hAnsi="Arial" w:cs="Arial"/>
          <w:sz w:val="18"/>
          <w:szCs w:val="18"/>
        </w:rPr>
      </w:pPr>
      <w:r>
        <w:rPr>
          <w:rFonts w:hint="default" w:ascii="Arial" w:hAnsi="Arial" w:cs="Arial"/>
          <w:sz w:val="18"/>
          <w:szCs w:val="18"/>
        </w:rPr>
        <w:t>8.9.2.1 Ato constitutivo, estatuto ou contrato social e alterações em vigor, devidamente registrado, em se tratando de sociedade comercial e, no caso de sociedade por ações, acompanhado do documento de eleição de seus administradores.</w:t>
      </w:r>
    </w:p>
    <w:p w14:paraId="607F2D31">
      <w:pPr>
        <w:tabs>
          <w:tab w:val="left" w:pos="993"/>
        </w:tabs>
        <w:spacing w:line="240" w:lineRule="auto"/>
        <w:jc w:val="both"/>
        <w:rPr>
          <w:rFonts w:hint="default" w:ascii="Arial" w:hAnsi="Arial" w:cs="Arial"/>
          <w:bCs/>
          <w:sz w:val="18"/>
          <w:szCs w:val="18"/>
        </w:rPr>
      </w:pPr>
      <w:r>
        <w:rPr>
          <w:rFonts w:hint="default" w:ascii="Arial" w:hAnsi="Arial" w:cs="Arial"/>
          <w:bCs/>
          <w:sz w:val="18"/>
          <w:szCs w:val="18"/>
        </w:rPr>
        <w:t xml:space="preserve"> </w:t>
      </w:r>
    </w:p>
    <w:p w14:paraId="70A4C029">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8.9.3 Nível III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"A4" </w:instrText>
      </w:r>
      <w:r>
        <w:rPr>
          <w:rFonts w:hint="default" w:ascii="Arial" w:hAnsi="Arial" w:cs="Arial"/>
          <w:sz w:val="18"/>
          <w:szCs w:val="18"/>
        </w:rPr>
        <w:fldChar w:fldCharType="separate"/>
      </w:r>
      <w:r>
        <w:rPr>
          <w:rStyle w:val="11"/>
          <w:rFonts w:hint="default" w:ascii="Arial" w:hAnsi="Arial" w:cs="Arial"/>
          <w:b/>
          <w:sz w:val="18"/>
          <w:szCs w:val="18"/>
        </w:rPr>
        <w:t>Regularidade Fiscal Federal e trabalhista</w:t>
      </w:r>
      <w:r>
        <w:rPr>
          <w:rStyle w:val="11"/>
          <w:rFonts w:hint="default" w:ascii="Arial" w:hAnsi="Arial" w:cs="Arial"/>
          <w:b/>
          <w:sz w:val="18"/>
          <w:szCs w:val="18"/>
        </w:rPr>
        <w:fldChar w:fldCharType="end"/>
      </w:r>
      <w:r>
        <w:rPr>
          <w:rFonts w:hint="default" w:ascii="Arial" w:hAnsi="Arial" w:cs="Arial"/>
          <w:b/>
          <w:sz w:val="18"/>
          <w:szCs w:val="18"/>
        </w:rPr>
        <w:t>:</w:t>
      </w:r>
    </w:p>
    <w:p w14:paraId="701D5BAA">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8.9.3.1 Prova de Regularidade com a Fazenda Federal (Secretaria da Receita Federal e Procuradoria Geral da Fazenda Nacional-Dívida Ativa) e INSS. </w:t>
      </w:r>
    </w:p>
    <w:p w14:paraId="031D6B2E">
      <w:pPr>
        <w:tabs>
          <w:tab w:val="left" w:pos="993"/>
        </w:tabs>
        <w:spacing w:line="360" w:lineRule="auto"/>
        <w:jc w:val="both"/>
        <w:rPr>
          <w:rFonts w:hint="default" w:ascii="Arial" w:hAnsi="Arial" w:cs="Arial"/>
          <w:sz w:val="18"/>
          <w:szCs w:val="18"/>
        </w:rPr>
      </w:pPr>
      <w:r>
        <w:rPr>
          <w:rFonts w:hint="default" w:ascii="Arial" w:hAnsi="Arial" w:cs="Arial"/>
          <w:sz w:val="18"/>
          <w:szCs w:val="18"/>
        </w:rPr>
        <w:t>8.9.3.2 Prova de Regularidade relativa a Seguridade Social e ao Fundo de Garantia por Tempo de Serviço (FGTS).</w:t>
      </w:r>
    </w:p>
    <w:p w14:paraId="5C47985D">
      <w:pPr>
        <w:tabs>
          <w:tab w:val="left" w:pos="993"/>
        </w:tabs>
        <w:spacing w:line="360" w:lineRule="auto"/>
        <w:jc w:val="both"/>
        <w:rPr>
          <w:rFonts w:hint="default" w:ascii="Arial" w:hAnsi="Arial" w:cs="Arial"/>
          <w:sz w:val="18"/>
          <w:szCs w:val="18"/>
        </w:rPr>
      </w:pPr>
      <w:r>
        <w:rPr>
          <w:rFonts w:hint="default" w:ascii="Arial" w:hAnsi="Arial" w:cs="Arial"/>
          <w:sz w:val="18"/>
          <w:szCs w:val="18"/>
        </w:rPr>
        <w:t>8.9.3.3 Prova de Regularidade Trabalhista (CNDT).</w:t>
      </w:r>
    </w:p>
    <w:p w14:paraId="26024488">
      <w:pPr>
        <w:tabs>
          <w:tab w:val="left" w:pos="993"/>
        </w:tabs>
        <w:spacing w:line="240" w:lineRule="auto"/>
        <w:jc w:val="both"/>
        <w:rPr>
          <w:rFonts w:hint="default" w:ascii="Arial" w:hAnsi="Arial" w:cs="Arial"/>
          <w:b/>
          <w:sz w:val="18"/>
          <w:szCs w:val="18"/>
        </w:rPr>
      </w:pPr>
    </w:p>
    <w:p w14:paraId="6A7A9EFC">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8.9.4 Nível IV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"A5" </w:instrText>
      </w:r>
      <w:r>
        <w:rPr>
          <w:rFonts w:hint="default" w:ascii="Arial" w:hAnsi="Arial" w:cs="Arial"/>
          <w:sz w:val="18"/>
          <w:szCs w:val="18"/>
        </w:rPr>
        <w:fldChar w:fldCharType="separate"/>
      </w:r>
      <w:r>
        <w:rPr>
          <w:rStyle w:val="11"/>
          <w:rFonts w:hint="default" w:ascii="Arial" w:hAnsi="Arial" w:cs="Arial"/>
          <w:b/>
          <w:sz w:val="18"/>
          <w:szCs w:val="18"/>
        </w:rPr>
        <w:t>Regularidade Fiscal Estadual e Municipal</w:t>
      </w:r>
      <w:r>
        <w:rPr>
          <w:rStyle w:val="11"/>
          <w:rFonts w:hint="default" w:ascii="Arial" w:hAnsi="Arial" w:cs="Arial"/>
          <w:b/>
          <w:sz w:val="18"/>
          <w:szCs w:val="18"/>
        </w:rPr>
        <w:fldChar w:fldCharType="end"/>
      </w:r>
      <w:r>
        <w:rPr>
          <w:rFonts w:hint="default" w:ascii="Arial" w:hAnsi="Arial" w:cs="Arial"/>
          <w:b/>
          <w:sz w:val="18"/>
          <w:szCs w:val="18"/>
        </w:rPr>
        <w:t>:</w:t>
      </w:r>
    </w:p>
    <w:p w14:paraId="6DD1B65A">
      <w:pPr>
        <w:tabs>
          <w:tab w:val="left" w:pos="993"/>
        </w:tabs>
        <w:spacing w:line="360" w:lineRule="auto"/>
        <w:jc w:val="both"/>
        <w:rPr>
          <w:rFonts w:hint="default" w:ascii="Arial" w:hAnsi="Arial" w:cs="Arial"/>
          <w:sz w:val="18"/>
          <w:szCs w:val="18"/>
        </w:rPr>
      </w:pPr>
      <w:r>
        <w:rPr>
          <w:rFonts w:hint="default" w:ascii="Arial" w:hAnsi="Arial" w:cs="Arial"/>
          <w:sz w:val="18"/>
          <w:szCs w:val="18"/>
        </w:rPr>
        <w:t>8.9.4.1 Prova de Regularidade com a Fazenda Estadual;</w:t>
      </w:r>
    </w:p>
    <w:p w14:paraId="26E15B0E">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8.9.4.2 Prova de Regularidade com a Fazenda Municipal. </w:t>
      </w:r>
    </w:p>
    <w:p w14:paraId="126CDD21">
      <w:pPr>
        <w:tabs>
          <w:tab w:val="left" w:pos="993"/>
        </w:tabs>
        <w:spacing w:line="360" w:lineRule="auto"/>
        <w:jc w:val="both"/>
        <w:rPr>
          <w:rFonts w:hint="default" w:ascii="Arial" w:hAnsi="Arial" w:cs="Arial"/>
          <w:sz w:val="18"/>
          <w:szCs w:val="18"/>
        </w:rPr>
      </w:pPr>
    </w:p>
    <w:p w14:paraId="2D0D3797">
      <w:pPr>
        <w:pStyle w:val="220"/>
        <w:numPr>
          <w:ilvl w:val="2"/>
          <w:numId w:val="9"/>
        </w:numPr>
        <w:pBdr>
          <w:top w:val="single" w:color="auto" w:sz="4" w:space="0"/>
          <w:left w:val="single" w:color="auto" w:sz="4" w:space="0"/>
          <w:bottom w:val="single" w:color="auto" w:sz="4" w:space="0"/>
          <w:right w:val="single" w:color="auto" w:sz="4" w:space="0"/>
          <w:between w:val="none" w:color="auto" w:sz="0" w:space="0"/>
        </w:pBdr>
        <w:tabs>
          <w:tab w:val="left" w:pos="993"/>
        </w:tabs>
        <w:spacing w:line="360" w:lineRule="auto"/>
        <w:jc w:val="both"/>
        <w:rPr>
          <w:rFonts w:ascii="Arial" w:hAnsi="Arial" w:eastAsia="LiberationSerif-Bold" w:cs="Arial"/>
          <w:bCs/>
          <w:sz w:val="24"/>
          <w:szCs w:val="24"/>
          <w:lang w:eastAsia="zh-CN"/>
        </w:rPr>
      </w:pPr>
      <w:r>
        <w:rPr>
          <w:rFonts w:hint="default" w:ascii="Arial" w:hAnsi="Arial" w:cs="Arial"/>
          <w:b/>
          <w:sz w:val="18"/>
          <w:szCs w:val="18"/>
          <w:highlight w:val="yellow"/>
        </w:rPr>
        <w:t xml:space="preserve">Nível V - Da Qualificação Técnica </w:t>
      </w:r>
    </w:p>
    <w:p w14:paraId="69FA41D6">
      <w:pPr>
        <w:pStyle w:val="220"/>
        <w:numPr>
          <w:ilvl w:val="0"/>
          <w:numId w:val="10"/>
        </w:numPr>
        <w:pBdr>
          <w:top w:val="single" w:color="auto" w:sz="4" w:space="0"/>
          <w:left w:val="single" w:color="auto" w:sz="4" w:space="0"/>
          <w:bottom w:val="single" w:color="auto" w:sz="4" w:space="0"/>
          <w:right w:val="single" w:color="auto" w:sz="4" w:space="0"/>
          <w:between w:val="none" w:color="auto" w:sz="0" w:space="0"/>
        </w:pBdr>
        <w:tabs>
          <w:tab w:val="left" w:pos="240"/>
          <w:tab w:val="left" w:pos="720"/>
          <w:tab w:val="left" w:pos="993"/>
          <w:tab w:val="clear" w:pos="425"/>
        </w:tabs>
        <w:spacing w:line="360" w:lineRule="auto"/>
        <w:ind w:left="5" w:leftChars="0" w:hanging="5" w:firstLineChars="0"/>
        <w:jc w:val="both"/>
        <w:rPr>
          <w:rFonts w:ascii="Arial" w:hAnsi="Arial" w:eastAsia="LiberationSerif-Bold" w:cs="Arial"/>
          <w:bCs/>
          <w:sz w:val="18"/>
          <w:szCs w:val="18"/>
          <w:lang w:eastAsia="zh-CN"/>
        </w:rPr>
      </w:pPr>
      <w:r>
        <w:rPr>
          <w:rFonts w:ascii="Arial" w:hAnsi="Arial" w:eastAsia="LiberationSerif-Bold" w:cs="Arial"/>
          <w:bCs/>
          <w:sz w:val="18"/>
          <w:szCs w:val="18"/>
          <w:lang w:eastAsia="zh-CN"/>
        </w:rPr>
        <w:t xml:space="preserve">Comprovação de aptidão para o fornecimento de bens similares de complexidade tecnológica e operacional equivalente ou superior com o objeto, ou com o item pertinente, por meio da apresentação de certidões ou atestados, por pessoas jurídicas de direito público ou privado. </w:t>
      </w:r>
    </w:p>
    <w:p w14:paraId="59CBA0C0">
      <w:pPr>
        <w:pStyle w:val="220"/>
        <w:numPr>
          <w:ilvl w:val="0"/>
          <w:numId w:val="0"/>
        </w:numPr>
        <w:pBdr>
          <w:top w:val="single" w:color="auto" w:sz="4" w:space="0"/>
          <w:left w:val="single" w:color="auto" w:sz="4" w:space="0"/>
          <w:bottom w:val="single" w:color="auto" w:sz="4" w:space="0"/>
          <w:right w:val="single" w:color="auto" w:sz="4" w:space="0"/>
          <w:between w:val="none" w:color="auto" w:sz="0" w:space="0"/>
        </w:pBdr>
        <w:tabs>
          <w:tab w:val="left" w:pos="240"/>
          <w:tab w:val="left" w:pos="720"/>
          <w:tab w:val="left" w:pos="993"/>
        </w:tabs>
        <w:spacing w:line="360" w:lineRule="auto"/>
        <w:ind w:leftChars="0"/>
        <w:jc w:val="both"/>
        <w:rPr>
          <w:rFonts w:ascii="Arial" w:hAnsi="Arial" w:eastAsia="LiberationSerif-Bold" w:cs="Arial"/>
          <w:bCs/>
          <w:sz w:val="18"/>
          <w:szCs w:val="18"/>
          <w:lang w:eastAsia="zh-CN"/>
        </w:rPr>
      </w:pPr>
      <w:r>
        <w:rPr>
          <w:rFonts w:hint="default" w:ascii="Arial" w:hAnsi="Arial" w:eastAsia="LiberationSerif-Bold" w:cs="Arial"/>
          <w:bCs/>
          <w:sz w:val="18"/>
          <w:szCs w:val="18"/>
          <w:lang w:val="pt-BR" w:eastAsia="zh-CN"/>
        </w:rPr>
        <w:t xml:space="preserve">8.9.5.1.1 </w:t>
      </w:r>
      <w:r>
        <w:rPr>
          <w:rFonts w:ascii="Arial" w:hAnsi="Arial" w:eastAsia="LiberationSerif-Bold" w:cs="Arial"/>
          <w:bCs/>
          <w:sz w:val="18"/>
          <w:szCs w:val="18"/>
          <w:lang w:eastAsia="zh-CN"/>
        </w:rPr>
        <w:t xml:space="preserve">Os atestados de capacidade técnica poderão ser apresentados em nome da matriz ou da filial do fornecedor. </w:t>
      </w:r>
    </w:p>
    <w:p w14:paraId="5371CA0E">
      <w:pPr>
        <w:pStyle w:val="220"/>
        <w:numPr>
          <w:ilvl w:val="0"/>
          <w:numId w:val="10"/>
        </w:numPr>
        <w:pBdr>
          <w:top w:val="single" w:color="auto" w:sz="4" w:space="0"/>
          <w:left w:val="single" w:color="auto" w:sz="4" w:space="0"/>
          <w:bottom w:val="single" w:color="auto" w:sz="4" w:space="0"/>
          <w:right w:val="single" w:color="auto" w:sz="4" w:space="0"/>
          <w:between w:val="none" w:color="auto" w:sz="0" w:space="0"/>
        </w:pBdr>
        <w:tabs>
          <w:tab w:val="left" w:pos="240"/>
          <w:tab w:val="left" w:pos="720"/>
          <w:tab w:val="left" w:pos="993"/>
          <w:tab w:val="clear" w:pos="425"/>
        </w:tabs>
        <w:spacing w:line="360" w:lineRule="auto"/>
        <w:ind w:left="5" w:leftChars="0" w:hanging="5" w:firstLineChars="0"/>
        <w:jc w:val="both"/>
        <w:rPr>
          <w:rFonts w:ascii="Arial" w:hAnsi="Arial" w:eastAsia="LiberationSerif-Bold" w:cs="Arial"/>
          <w:bCs/>
          <w:sz w:val="18"/>
          <w:szCs w:val="18"/>
          <w:lang w:eastAsia="zh-CN"/>
        </w:rPr>
      </w:pPr>
      <w:r>
        <w:rPr>
          <w:rFonts w:ascii="Arial" w:hAnsi="Arial" w:eastAsia="LiberationSerif-Bold" w:cs="Arial"/>
          <w:bCs/>
          <w:sz w:val="18"/>
          <w:szCs w:val="18"/>
          <w:lang w:eastAsia="zh-CN"/>
        </w:rPr>
        <w:t>Deverão ainda ser apresentadas Licença Sanitária expedida pelo órgão competente local, em plena vigência;</w:t>
      </w:r>
    </w:p>
    <w:p w14:paraId="55350EBC">
      <w:pPr>
        <w:pStyle w:val="220"/>
        <w:numPr>
          <w:ilvl w:val="0"/>
          <w:numId w:val="10"/>
        </w:numPr>
        <w:pBdr>
          <w:top w:val="single" w:color="auto" w:sz="4" w:space="0"/>
          <w:left w:val="single" w:color="auto" w:sz="4" w:space="0"/>
          <w:bottom w:val="single" w:color="auto" w:sz="4" w:space="0"/>
          <w:right w:val="single" w:color="auto" w:sz="4" w:space="0"/>
          <w:between w:val="none" w:color="auto" w:sz="0" w:space="0"/>
        </w:pBdr>
        <w:tabs>
          <w:tab w:val="left" w:pos="240"/>
          <w:tab w:val="left" w:pos="720"/>
          <w:tab w:val="left" w:pos="993"/>
          <w:tab w:val="clear" w:pos="425"/>
        </w:tabs>
        <w:spacing w:line="360" w:lineRule="auto"/>
        <w:ind w:left="5" w:leftChars="0" w:hanging="5" w:firstLineChars="0"/>
        <w:jc w:val="both"/>
        <w:rPr>
          <w:rFonts w:ascii="Arial" w:hAnsi="Arial" w:eastAsia="LiberationSerif-Bold" w:cs="Arial"/>
          <w:bCs/>
          <w:sz w:val="18"/>
          <w:szCs w:val="18"/>
          <w:lang w:eastAsia="zh-CN"/>
        </w:rPr>
      </w:pPr>
      <w:r>
        <w:rPr>
          <w:rFonts w:ascii="Arial" w:hAnsi="Arial" w:eastAsia="LiberationSerif-Bold" w:cs="Arial"/>
          <w:bCs/>
          <w:sz w:val="18"/>
          <w:szCs w:val="18"/>
          <w:lang w:eastAsia="zh-CN"/>
        </w:rPr>
        <w:t>Autorização de Funcionamento de Empresa (AFE) expedida pela Agência Nacional de Vigilância Sanitária (ANVISA), devidamente atualizada</w:t>
      </w:r>
      <w:r>
        <w:rPr>
          <w:rFonts w:hint="default" w:ascii="Arial" w:hAnsi="Arial" w:eastAsia="LiberationSerif-Bold" w:cs="Arial"/>
          <w:bCs/>
          <w:sz w:val="18"/>
          <w:szCs w:val="18"/>
          <w:lang w:val="pt-BR" w:eastAsia="zh-CN"/>
        </w:rPr>
        <w:t>.</w:t>
      </w:r>
    </w:p>
    <w:p w14:paraId="0AD6FAB3">
      <w:pPr>
        <w:pStyle w:val="220"/>
        <w:numPr>
          <w:ilvl w:val="0"/>
          <w:numId w:val="10"/>
        </w:numPr>
        <w:pBdr>
          <w:top w:val="single" w:color="auto" w:sz="4" w:space="0"/>
          <w:left w:val="single" w:color="auto" w:sz="4" w:space="0"/>
          <w:bottom w:val="single" w:color="auto" w:sz="4" w:space="0"/>
          <w:right w:val="single" w:color="auto" w:sz="4" w:space="0"/>
          <w:between w:val="none" w:color="auto" w:sz="0" w:space="0"/>
        </w:pBdr>
        <w:tabs>
          <w:tab w:val="left" w:pos="240"/>
          <w:tab w:val="left" w:pos="720"/>
          <w:tab w:val="left" w:pos="993"/>
          <w:tab w:val="clear" w:pos="425"/>
        </w:tabs>
        <w:spacing w:line="360" w:lineRule="auto"/>
        <w:ind w:left="5" w:leftChars="0" w:hanging="5" w:firstLineChars="0"/>
        <w:jc w:val="both"/>
        <w:rPr>
          <w:rFonts w:ascii="Arial" w:hAnsi="Arial" w:eastAsia="LiberationSerif-Bold" w:cs="Arial"/>
          <w:bCs/>
          <w:sz w:val="18"/>
          <w:szCs w:val="18"/>
          <w:lang w:eastAsia="zh-CN"/>
        </w:rPr>
      </w:pPr>
      <w:r>
        <w:rPr>
          <w:rFonts w:ascii="Arial" w:hAnsi="Arial" w:eastAsia="LiberationSerif-Bold" w:cs="Arial"/>
          <w:bCs/>
          <w:sz w:val="18"/>
          <w:szCs w:val="18"/>
          <w:lang w:eastAsia="zh-CN"/>
        </w:rPr>
        <w:t xml:space="preserve"> Autorização de Funcionamento Especial (AE) expedida pela Agência Nacional de Vigilância Sanitária (ANVISA), devidamente atualizada.</w:t>
      </w:r>
    </w:p>
    <w:p w14:paraId="21EBA0D5">
      <w:pPr>
        <w:pStyle w:val="220"/>
        <w:numPr>
          <w:numId w:val="0"/>
        </w:numPr>
        <w:pBdr>
          <w:top w:val="single" w:color="auto" w:sz="4" w:space="0"/>
          <w:left w:val="single" w:color="auto" w:sz="4" w:space="0"/>
          <w:bottom w:val="single" w:color="auto" w:sz="4" w:space="0"/>
          <w:right w:val="single" w:color="auto" w:sz="4" w:space="0"/>
          <w:between w:val="none" w:color="auto" w:sz="0" w:space="0"/>
        </w:pBdr>
        <w:tabs>
          <w:tab w:val="left" w:pos="240"/>
          <w:tab w:val="left" w:pos="720"/>
          <w:tab w:val="left" w:pos="993"/>
        </w:tabs>
        <w:suppressAutoHyphens/>
        <w:spacing w:line="360" w:lineRule="auto"/>
        <w:contextualSpacing/>
        <w:jc w:val="both"/>
        <w:rPr>
          <w:rFonts w:ascii="Arial" w:hAnsi="Arial" w:eastAsia="LiberationSerif-Bold" w:cs="Arial"/>
          <w:bCs/>
          <w:sz w:val="18"/>
          <w:szCs w:val="18"/>
          <w:lang w:eastAsia="zh-CN"/>
        </w:rPr>
      </w:pPr>
    </w:p>
    <w:p w14:paraId="30CF58BF">
      <w:pPr>
        <w:pStyle w:val="220"/>
        <w:numPr>
          <w:numId w:val="0"/>
        </w:numPr>
        <w:pBdr>
          <w:top w:val="single" w:color="auto" w:sz="4" w:space="0"/>
          <w:left w:val="single" w:color="auto" w:sz="4" w:space="0"/>
          <w:bottom w:val="single" w:color="auto" w:sz="4" w:space="0"/>
          <w:right w:val="single" w:color="auto" w:sz="4" w:space="0"/>
          <w:between w:val="none" w:color="auto" w:sz="0" w:space="0"/>
        </w:pBdr>
        <w:tabs>
          <w:tab w:val="left" w:pos="240"/>
          <w:tab w:val="left" w:pos="720"/>
          <w:tab w:val="left" w:pos="993"/>
        </w:tabs>
        <w:suppressAutoHyphens/>
        <w:spacing w:line="360" w:lineRule="auto"/>
        <w:contextualSpacing/>
        <w:jc w:val="both"/>
        <w:rPr>
          <w:rFonts w:ascii="Arial" w:hAnsi="Arial" w:eastAsia="LiberationSerif-Bold" w:cs="Arial"/>
          <w:bCs/>
          <w:sz w:val="18"/>
          <w:szCs w:val="18"/>
          <w:lang w:eastAsia="zh-CN"/>
        </w:rPr>
      </w:pPr>
    </w:p>
    <w:p w14:paraId="09FA2752">
      <w:pPr>
        <w:pStyle w:val="220"/>
        <w:numPr>
          <w:ilvl w:val="0"/>
          <w:numId w:val="10"/>
        </w:numPr>
        <w:pBdr>
          <w:top w:val="single" w:color="auto" w:sz="4" w:space="0"/>
          <w:left w:val="single" w:color="auto" w:sz="4" w:space="0"/>
          <w:bottom w:val="single" w:color="auto" w:sz="4" w:space="0"/>
          <w:right w:val="single" w:color="auto" w:sz="4" w:space="0"/>
          <w:between w:val="none" w:color="auto" w:sz="0" w:space="0"/>
        </w:pBdr>
        <w:tabs>
          <w:tab w:val="left" w:pos="240"/>
          <w:tab w:val="left" w:pos="720"/>
          <w:tab w:val="left" w:pos="993"/>
          <w:tab w:val="clear" w:pos="425"/>
        </w:tabs>
        <w:spacing w:line="360" w:lineRule="auto"/>
        <w:ind w:left="5" w:leftChars="0" w:hanging="5" w:firstLineChars="0"/>
        <w:jc w:val="both"/>
        <w:rPr>
          <w:rFonts w:ascii="Arial" w:hAnsi="Arial" w:eastAsia="LiberationSerif-Bold" w:cs="Arial"/>
          <w:bCs/>
          <w:sz w:val="18"/>
          <w:szCs w:val="18"/>
          <w:lang w:eastAsia="zh-CN"/>
        </w:rPr>
      </w:pPr>
      <w:r>
        <w:rPr>
          <w:rFonts w:hint="default" w:ascii="Arial" w:hAnsi="Arial" w:cs="Arial"/>
          <w:b w:val="0"/>
          <w:bCs w:val="0"/>
          <w:sz w:val="18"/>
          <w:szCs w:val="18"/>
          <w:highlight w:val="none"/>
          <w:lang w:val="pt-BR"/>
        </w:rPr>
        <w:t>Caso a empresa esteja dispensada de alguma autorização de funcionamento, a mesma deverá apresentar d</w:t>
      </w:r>
      <w:r>
        <w:rPr>
          <w:rFonts w:hint="default" w:ascii="Arial" w:hAnsi="Arial" w:eastAsia="LiberationSerif-Bold"/>
          <w:b w:val="0"/>
          <w:bCs w:val="0"/>
          <w:color w:val="auto"/>
          <w:sz w:val="18"/>
          <w:szCs w:val="18"/>
          <w:highlight w:val="none"/>
          <w:lang w:eastAsia="zh-CN"/>
        </w:rPr>
        <w:t>ocumento oficial apto a comprovar a dispensa</w:t>
      </w:r>
      <w:r>
        <w:rPr>
          <w:rFonts w:hint="default" w:ascii="Arial" w:hAnsi="Arial" w:eastAsia="LiberationSerif-Bold"/>
          <w:b w:val="0"/>
          <w:bCs w:val="0"/>
          <w:color w:val="auto"/>
          <w:sz w:val="18"/>
          <w:szCs w:val="18"/>
          <w:highlight w:val="none"/>
          <w:lang w:val="pt-BR" w:eastAsia="zh-CN"/>
        </w:rPr>
        <w:t xml:space="preserve"> o qual será analisado pelo corpo técnica da Secretaria de Saúde.</w:t>
      </w:r>
    </w:p>
    <w:p w14:paraId="36CCB86E">
      <w:pPr>
        <w:pStyle w:val="220"/>
        <w:tabs>
          <w:tab w:val="left" w:pos="851"/>
          <w:tab w:val="left" w:pos="1134"/>
        </w:tabs>
        <w:suppressAutoHyphens w:val="0"/>
        <w:autoSpaceDE w:val="0"/>
        <w:autoSpaceDN w:val="0"/>
        <w:adjustRightInd w:val="0"/>
        <w:spacing w:line="276" w:lineRule="auto"/>
        <w:ind w:left="0"/>
        <w:jc w:val="both"/>
        <w:rPr>
          <w:rFonts w:hint="default" w:ascii="Arial" w:hAnsi="Arial" w:cs="Arial"/>
          <w:sz w:val="18"/>
          <w:szCs w:val="18"/>
        </w:rPr>
      </w:pPr>
    </w:p>
    <w:p w14:paraId="5696AA40">
      <w:pPr>
        <w:pBdr>
          <w:top w:val="single" w:color="auto" w:sz="4" w:space="0"/>
          <w:left w:val="single" w:color="auto" w:sz="4" w:space="0"/>
          <w:bottom w:val="single" w:color="auto" w:sz="4" w:space="0"/>
          <w:right w:val="single" w:color="auto" w:sz="4" w:space="0"/>
        </w:pBdr>
        <w:tabs>
          <w:tab w:val="left" w:pos="993"/>
        </w:tabs>
        <w:spacing w:line="360" w:lineRule="auto"/>
        <w:contextualSpacing/>
        <w:jc w:val="both"/>
        <w:rPr>
          <w:rFonts w:hint="default" w:ascii="Arial" w:hAnsi="Arial" w:cs="Arial"/>
          <w:b/>
          <w:bCs/>
          <w:color w:val="000000"/>
          <w:sz w:val="18"/>
          <w:szCs w:val="18"/>
          <w:lang w:val="pt-BR"/>
        </w:rPr>
      </w:pPr>
      <w:r>
        <w:rPr>
          <w:rFonts w:hint="default" w:ascii="Arial" w:hAnsi="Arial" w:cs="Arial"/>
          <w:b/>
          <w:bCs/>
          <w:color w:val="000000"/>
          <w:sz w:val="18"/>
          <w:szCs w:val="18"/>
          <w:lang w:val="pt-BR"/>
        </w:rPr>
        <w:t xml:space="preserve">8.9.6 Qualificação Econômica-Financeira: </w:t>
      </w:r>
    </w:p>
    <w:p w14:paraId="57DE0CC1">
      <w:pPr>
        <w:pBdr>
          <w:top w:val="single" w:color="auto" w:sz="4" w:space="0"/>
          <w:left w:val="single" w:color="auto" w:sz="4" w:space="0"/>
          <w:bottom w:val="single" w:color="auto" w:sz="4" w:space="0"/>
          <w:right w:val="single" w:color="auto" w:sz="4" w:space="0"/>
        </w:pBdr>
        <w:tabs>
          <w:tab w:val="left" w:pos="993"/>
        </w:tabs>
        <w:spacing w:line="360" w:lineRule="auto"/>
        <w:contextualSpacing/>
        <w:jc w:val="both"/>
        <w:rPr>
          <w:rFonts w:hint="default" w:ascii="Arial" w:hAnsi="Arial" w:cs="Arial"/>
          <w:color w:val="000000"/>
          <w:sz w:val="18"/>
          <w:szCs w:val="18"/>
        </w:rPr>
      </w:pPr>
      <w:r>
        <w:rPr>
          <w:rFonts w:hint="default" w:ascii="Arial" w:hAnsi="Arial" w:cs="Arial"/>
          <w:color w:val="000000"/>
          <w:sz w:val="18"/>
          <w:szCs w:val="18"/>
        </w:rPr>
        <w:t>8.9.6.1 Certidão negativa de feitos sobre falência expedida pelo distribuidor da sede do licitante.</w:t>
      </w:r>
    </w:p>
    <w:p w14:paraId="7E6EB92B">
      <w:pPr>
        <w:pBdr>
          <w:top w:val="single" w:color="auto" w:sz="4" w:space="0"/>
          <w:left w:val="single" w:color="auto" w:sz="4" w:space="0"/>
          <w:bottom w:val="single" w:color="auto" w:sz="4" w:space="0"/>
          <w:right w:val="single" w:color="auto" w:sz="4" w:space="0"/>
        </w:pBdr>
        <w:tabs>
          <w:tab w:val="left" w:pos="993"/>
        </w:tabs>
        <w:spacing w:line="360" w:lineRule="auto"/>
        <w:contextualSpacing/>
        <w:jc w:val="both"/>
        <w:rPr>
          <w:rFonts w:hint="default" w:ascii="Arial" w:hAnsi="Arial" w:cs="Arial"/>
          <w:color w:val="101010"/>
          <w:sz w:val="18"/>
          <w:szCs w:val="18"/>
          <w:lang w:val="pt-BR"/>
        </w:rPr>
      </w:pPr>
      <w:r>
        <w:rPr>
          <w:rFonts w:hint="default" w:ascii="Arial" w:hAnsi="Arial" w:cs="Arial"/>
          <w:sz w:val="18"/>
          <w:szCs w:val="18"/>
          <w:lang w:val="pt-BR"/>
        </w:rPr>
        <w:t xml:space="preserve">8.9.6.2 </w:t>
      </w:r>
      <w:r>
        <w:rPr>
          <w:rFonts w:hint="default" w:ascii="Arial" w:hAnsi="Arial" w:cs="Arial"/>
          <w:color w:val="101010"/>
          <w:sz w:val="18"/>
          <w:szCs w:val="18"/>
        </w:rPr>
        <w:t>Balanço patrimonial e Demonstração do Resultado do Exercício (demonstrações contábeis) dos 2 (dois) últimos exercícios sociais, já exigíveis e apresentados na forma da lei, que comprovem a boa situação financeira da empresa, vedada a sua substituição por balancetes ou balanços provisórios</w:t>
      </w:r>
      <w:r>
        <w:rPr>
          <w:rFonts w:hint="default" w:ascii="Arial" w:hAnsi="Arial" w:cs="Arial"/>
          <w:color w:val="101010"/>
          <w:sz w:val="18"/>
          <w:szCs w:val="18"/>
          <w:lang w:val="pt-BR"/>
        </w:rPr>
        <w:t>, podendo ser apresentado da Matriz.</w:t>
      </w:r>
    </w:p>
    <w:p w14:paraId="169D91FC">
      <w:pPr>
        <w:pBdr>
          <w:top w:val="single" w:color="auto" w:sz="4" w:space="0"/>
          <w:left w:val="single" w:color="auto" w:sz="4" w:space="0"/>
          <w:bottom w:val="single" w:color="auto" w:sz="4" w:space="0"/>
          <w:right w:val="single" w:color="auto" w:sz="4" w:space="0"/>
        </w:pBdr>
        <w:tabs>
          <w:tab w:val="left" w:pos="993"/>
        </w:tabs>
        <w:spacing w:line="360" w:lineRule="auto"/>
        <w:contextualSpacing/>
        <w:jc w:val="both"/>
        <w:rPr>
          <w:rFonts w:hint="default" w:ascii="Arial" w:hAnsi="Arial" w:cs="Arial"/>
          <w:b/>
          <w:color w:val="101010"/>
          <w:sz w:val="18"/>
          <w:szCs w:val="18"/>
        </w:rPr>
      </w:pPr>
      <w:r>
        <w:rPr>
          <w:rFonts w:hint="default" w:ascii="Arial" w:hAnsi="Arial" w:cs="Arial"/>
          <w:color w:val="101010"/>
          <w:sz w:val="18"/>
          <w:szCs w:val="18"/>
          <w:lang w:val="pt-BR"/>
        </w:rPr>
        <w:t xml:space="preserve">8.9.6.2.1 </w:t>
      </w:r>
      <w:r>
        <w:rPr>
          <w:rFonts w:hint="default" w:ascii="Arial" w:hAnsi="Arial" w:cs="Arial"/>
          <w:color w:val="101010"/>
          <w:sz w:val="18"/>
          <w:szCs w:val="18"/>
        </w:rPr>
        <w:t>Serão considerados aceitos como na forma da lei o Balanço Patrimonial (inclusive o de abertura) e Demonstração do Resultado do Exercício que apresentem valores dos 2 (dois) últimos exercício, conforme art. 176, § 1º da Lei 6.404/76 e inciso I do art. 69 da Lei 14.133/2021 e assim apresentados:</w:t>
      </w:r>
    </w:p>
    <w:p w14:paraId="03C82A5B">
      <w:pPr>
        <w:pStyle w:val="220"/>
        <w:numPr>
          <w:ilvl w:val="0"/>
          <w:numId w:val="11"/>
        </w:numPr>
        <w:pBdr>
          <w:top w:val="single" w:color="auto" w:sz="4" w:space="0"/>
          <w:left w:val="single" w:color="auto" w:sz="4" w:space="0"/>
          <w:bottom w:val="single" w:color="auto" w:sz="4" w:space="0"/>
          <w:right w:val="single" w:color="auto" w:sz="4"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4"/>
          <w:sz w:val="18"/>
          <w:szCs w:val="18"/>
        </w:rPr>
        <w:t xml:space="preserve"> </w:t>
      </w:r>
      <w:r>
        <w:rPr>
          <w:rFonts w:hint="default" w:ascii="Arial" w:hAnsi="Arial" w:cs="Arial"/>
          <w:color w:val="101010"/>
          <w:sz w:val="18"/>
          <w:szCs w:val="18"/>
        </w:rPr>
        <w:t>em</w:t>
      </w:r>
      <w:r>
        <w:rPr>
          <w:rFonts w:hint="default" w:ascii="Arial" w:hAnsi="Arial" w:cs="Arial"/>
          <w:color w:val="101010"/>
          <w:spacing w:val="-5"/>
          <w:sz w:val="18"/>
          <w:szCs w:val="18"/>
        </w:rPr>
        <w:t xml:space="preserve"> </w:t>
      </w:r>
      <w:r>
        <w:rPr>
          <w:rFonts w:hint="default" w:ascii="Arial" w:hAnsi="Arial" w:cs="Arial"/>
          <w:color w:val="101010"/>
          <w:spacing w:val="-5"/>
          <w:sz w:val="18"/>
          <w:szCs w:val="18"/>
          <w:lang w:val="pt-BR"/>
        </w:rPr>
        <w:t xml:space="preserve"> </w:t>
      </w:r>
      <w:r>
        <w:rPr>
          <w:rFonts w:hint="default" w:ascii="Arial" w:hAnsi="Arial" w:cs="Arial"/>
          <w:color w:val="101010"/>
          <w:sz w:val="18"/>
          <w:szCs w:val="18"/>
        </w:rPr>
        <w:t>Diário</w:t>
      </w:r>
      <w:r>
        <w:rPr>
          <w:rFonts w:hint="default" w:ascii="Arial" w:hAnsi="Arial" w:cs="Arial"/>
          <w:color w:val="101010"/>
          <w:spacing w:val="-5"/>
          <w:sz w:val="18"/>
          <w:szCs w:val="18"/>
        </w:rPr>
        <w:t xml:space="preserve"> </w:t>
      </w:r>
      <w:r>
        <w:rPr>
          <w:rFonts w:hint="default" w:ascii="Arial" w:hAnsi="Arial" w:cs="Arial"/>
          <w:color w:val="101010"/>
          <w:sz w:val="18"/>
          <w:szCs w:val="18"/>
        </w:rPr>
        <w:t>Oficial;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1CA232E3">
      <w:pPr>
        <w:pStyle w:val="220"/>
        <w:numPr>
          <w:ilvl w:val="0"/>
          <w:numId w:val="11"/>
        </w:numPr>
        <w:pBdr>
          <w:top w:val="single" w:color="auto" w:sz="4" w:space="0"/>
          <w:left w:val="single" w:color="auto" w:sz="4" w:space="0"/>
          <w:bottom w:val="single" w:color="auto" w:sz="4" w:space="0"/>
          <w:right w:val="single" w:color="auto" w:sz="4"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7"/>
          <w:sz w:val="18"/>
          <w:szCs w:val="18"/>
        </w:rPr>
        <w:t xml:space="preserve"> </w:t>
      </w:r>
      <w:r>
        <w:rPr>
          <w:rFonts w:hint="default" w:ascii="Arial" w:hAnsi="Arial" w:cs="Arial"/>
          <w:color w:val="101010"/>
          <w:sz w:val="18"/>
          <w:szCs w:val="18"/>
        </w:rPr>
        <w:t>em</w:t>
      </w:r>
      <w:r>
        <w:rPr>
          <w:rFonts w:hint="default" w:ascii="Arial" w:hAnsi="Arial" w:cs="Arial"/>
          <w:color w:val="101010"/>
          <w:spacing w:val="-6"/>
          <w:sz w:val="18"/>
          <w:szCs w:val="18"/>
        </w:rPr>
        <w:t xml:space="preserve"> </w:t>
      </w:r>
      <w:r>
        <w:rPr>
          <w:rFonts w:hint="default" w:ascii="Arial" w:hAnsi="Arial" w:cs="Arial"/>
          <w:color w:val="101010"/>
          <w:sz w:val="18"/>
          <w:szCs w:val="18"/>
        </w:rPr>
        <w:t>Jornal;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5D87E7DE">
      <w:pPr>
        <w:pStyle w:val="220"/>
        <w:numPr>
          <w:ilvl w:val="0"/>
          <w:numId w:val="11"/>
        </w:numPr>
        <w:pBdr>
          <w:top w:val="single" w:color="auto" w:sz="4" w:space="0"/>
          <w:left w:val="single" w:color="auto" w:sz="4" w:space="0"/>
          <w:bottom w:val="single" w:color="auto" w:sz="4" w:space="0"/>
          <w:right w:val="single" w:color="auto" w:sz="4"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 xml:space="preserve">por cópia ou fotocópia registrada ou autenticada na Junta Comercial da sede ou domicílio da proponente; </w:t>
      </w:r>
      <w:r>
        <w:rPr>
          <w:rFonts w:hint="default" w:ascii="Arial" w:hAnsi="Arial" w:cs="Arial"/>
          <w:color w:val="101010"/>
          <w:spacing w:val="-6"/>
          <w:sz w:val="18"/>
          <w:szCs w:val="18"/>
        </w:rPr>
        <w:t>ou</w:t>
      </w:r>
    </w:p>
    <w:p w14:paraId="0B4759A3">
      <w:pPr>
        <w:pStyle w:val="220"/>
        <w:numPr>
          <w:ilvl w:val="0"/>
          <w:numId w:val="11"/>
        </w:numPr>
        <w:pBdr>
          <w:top w:val="single" w:color="auto" w:sz="4" w:space="0"/>
          <w:left w:val="single" w:color="auto" w:sz="4" w:space="0"/>
          <w:bottom w:val="single" w:color="auto" w:sz="4" w:space="0"/>
          <w:right w:val="single" w:color="auto" w:sz="4"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por cópia ou fotocópia do livro Diário, devidamente autenticado na Junta Comercial da sede ou domicílio da proponente ou em outro órgão equivalente, inclusive com os Termos de Abertura e de Encerramento, ou;</w:t>
      </w:r>
    </w:p>
    <w:p w14:paraId="41A37DFA">
      <w:pPr>
        <w:pStyle w:val="220"/>
        <w:numPr>
          <w:ilvl w:val="0"/>
          <w:numId w:val="11"/>
        </w:numPr>
        <w:pBdr>
          <w:top w:val="single" w:color="auto" w:sz="4" w:space="0"/>
          <w:left w:val="single" w:color="auto" w:sz="4" w:space="0"/>
          <w:bottom w:val="single" w:color="auto" w:sz="4" w:space="0"/>
          <w:right w:val="single" w:color="auto" w:sz="4" w:space="0"/>
        </w:pBdr>
        <w:tabs>
          <w:tab w:val="left" w:pos="480"/>
          <w:tab w:val="left" w:pos="720"/>
        </w:tabs>
        <w:spacing w:before="0" w:after="0" w:line="360" w:lineRule="auto"/>
        <w:ind w:left="0" w:leftChars="0" w:right="0" w:firstLine="0" w:firstLineChars="0"/>
        <w:jc w:val="both"/>
        <w:rPr>
          <w:rFonts w:hint="default" w:ascii="Arial" w:hAnsi="Arial" w:cs="Arial"/>
          <w:color w:val="101010"/>
          <w:spacing w:val="-2"/>
          <w:sz w:val="18"/>
          <w:szCs w:val="18"/>
        </w:rPr>
      </w:pPr>
      <w:r>
        <w:rPr>
          <w:rFonts w:hint="default" w:ascii="Arial" w:hAnsi="Arial" w:cs="Arial"/>
          <w:color w:val="101010"/>
          <w:sz w:val="18"/>
          <w:szCs w:val="18"/>
        </w:rPr>
        <w:t>Por Escrituração Contábil Digital (ECD), através da apresentação de cópia do SPED, devidamente transmitido via eletrônica, e obrigatoriamente, observado o prazo de entrega estipulado no art. 1078 da Lei Federal nº 10.406/2002.</w:t>
      </w:r>
    </w:p>
    <w:p w14:paraId="359FFBB7">
      <w:pPr>
        <w:pStyle w:val="220"/>
        <w:numPr>
          <w:ilvl w:val="0"/>
          <w:numId w:val="0"/>
        </w:numPr>
        <w:pBdr>
          <w:top w:val="single" w:color="auto" w:sz="4" w:space="0"/>
          <w:left w:val="single" w:color="auto" w:sz="4" w:space="0"/>
          <w:bottom w:val="single" w:color="auto" w:sz="4" w:space="0"/>
          <w:right w:val="single" w:color="auto" w:sz="4" w:space="0"/>
        </w:pBdr>
        <w:spacing w:before="0" w:after="0" w:line="240" w:lineRule="auto"/>
        <w:ind w:leftChars="0" w:right="0" w:rightChars="0"/>
        <w:jc w:val="both"/>
        <w:rPr>
          <w:rFonts w:hint="default" w:ascii="Arial" w:hAnsi="Arial" w:cs="Arial"/>
          <w:color w:val="101010"/>
          <w:sz w:val="18"/>
          <w:szCs w:val="18"/>
        </w:rPr>
      </w:pPr>
    </w:p>
    <w:p w14:paraId="1A7A74F0">
      <w:pPr>
        <w:pStyle w:val="220"/>
        <w:numPr>
          <w:ilvl w:val="0"/>
          <w:numId w:val="0"/>
        </w:numPr>
        <w:pBdr>
          <w:top w:val="single" w:color="auto" w:sz="4" w:space="0"/>
          <w:left w:val="single" w:color="auto" w:sz="4" w:space="0"/>
          <w:bottom w:val="single" w:color="auto" w:sz="4" w:space="0"/>
          <w:right w:val="single" w:color="auto" w:sz="4" w:space="0"/>
        </w:pBdr>
        <w:spacing w:before="0" w:after="0" w:line="360" w:lineRule="auto"/>
        <w:ind w:leftChars="0" w:right="0" w:rightChars="0"/>
        <w:jc w:val="both"/>
        <w:rPr>
          <w:rFonts w:hint="default" w:ascii="Arial" w:hAnsi="Arial" w:cs="Arial"/>
          <w:color w:val="101010"/>
          <w:spacing w:val="-2"/>
          <w:sz w:val="18"/>
          <w:szCs w:val="18"/>
        </w:rPr>
      </w:pPr>
      <w:r>
        <w:rPr>
          <w:rFonts w:hint="default" w:ascii="Arial" w:hAnsi="Arial" w:cs="Arial"/>
          <w:color w:val="101010"/>
          <w:sz w:val="18"/>
          <w:szCs w:val="18"/>
          <w:lang w:val="pt-BR"/>
        </w:rPr>
        <w:t xml:space="preserve">8.9.6.2.2. </w:t>
      </w:r>
      <w:r>
        <w:rPr>
          <w:rFonts w:hint="default" w:ascii="Arial" w:hAnsi="Arial" w:cs="Arial"/>
          <w:color w:val="101010"/>
          <w:sz w:val="18"/>
          <w:szCs w:val="18"/>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w:t>
      </w:r>
      <w:r>
        <w:rPr>
          <w:rFonts w:hint="default" w:ascii="Arial" w:hAnsi="Arial" w:cs="Arial"/>
          <w:color w:val="101010"/>
          <w:spacing w:val="40"/>
          <w:sz w:val="18"/>
          <w:szCs w:val="18"/>
        </w:rPr>
        <w:t xml:space="preserve"> </w:t>
      </w:r>
      <w:r>
        <w:rPr>
          <w:rFonts w:hint="default" w:ascii="Arial" w:hAnsi="Arial" w:cs="Arial"/>
          <w:color w:val="101010"/>
          <w:sz w:val="18"/>
          <w:szCs w:val="18"/>
        </w:rPr>
        <w:t>devidamente autenticado na Junta Comercial da sede ou domicílio da licitante ou em outro órgão</w:t>
      </w:r>
      <w:r>
        <w:rPr>
          <w:rFonts w:hint="default" w:ascii="Arial" w:hAnsi="Arial" w:cs="Arial"/>
          <w:color w:val="101010"/>
          <w:spacing w:val="80"/>
          <w:sz w:val="18"/>
          <w:szCs w:val="18"/>
        </w:rPr>
        <w:t xml:space="preserve"> </w:t>
      </w:r>
      <w:r>
        <w:rPr>
          <w:rFonts w:hint="default" w:ascii="Arial" w:hAnsi="Arial" w:cs="Arial"/>
          <w:color w:val="101010"/>
          <w:spacing w:val="-2"/>
          <w:sz w:val="18"/>
          <w:szCs w:val="18"/>
        </w:rPr>
        <w:t>equivalente;</w:t>
      </w:r>
    </w:p>
    <w:p w14:paraId="3FFFD685">
      <w:pPr>
        <w:pStyle w:val="220"/>
        <w:numPr>
          <w:ilvl w:val="0"/>
          <w:numId w:val="0"/>
        </w:numPr>
        <w:pBdr>
          <w:top w:val="single" w:color="auto" w:sz="4" w:space="0"/>
          <w:left w:val="single" w:color="auto" w:sz="4" w:space="0"/>
          <w:bottom w:val="single" w:color="auto" w:sz="4" w:space="0"/>
          <w:right w:val="single" w:color="auto" w:sz="4" w:space="0"/>
        </w:pBdr>
        <w:spacing w:before="0" w:after="0" w:line="240" w:lineRule="auto"/>
        <w:ind w:leftChars="0" w:right="0" w:rightChars="0"/>
        <w:jc w:val="both"/>
        <w:rPr>
          <w:rFonts w:hint="default" w:ascii="Arial" w:hAnsi="Arial" w:cs="Arial"/>
          <w:color w:val="101010"/>
          <w:spacing w:val="-2"/>
          <w:sz w:val="18"/>
          <w:szCs w:val="18"/>
        </w:rPr>
      </w:pPr>
    </w:p>
    <w:p w14:paraId="23BB71E3">
      <w:pPr>
        <w:pStyle w:val="220"/>
        <w:numPr>
          <w:ilvl w:val="0"/>
          <w:numId w:val="0"/>
        </w:numPr>
        <w:pBdr>
          <w:top w:val="single" w:color="auto" w:sz="4" w:space="0"/>
          <w:left w:val="single" w:color="auto" w:sz="4" w:space="0"/>
          <w:bottom w:val="single" w:color="auto" w:sz="4" w:space="0"/>
          <w:right w:val="single" w:color="auto" w:sz="4" w:space="0"/>
        </w:pBdr>
        <w:spacing w:before="0" w:after="0" w:line="360" w:lineRule="auto"/>
        <w:ind w:leftChars="0" w:right="0" w:rightChars="0"/>
        <w:jc w:val="both"/>
        <w:rPr>
          <w:rFonts w:hint="default" w:ascii="Arial" w:hAnsi="Arial" w:cs="Arial"/>
          <w:color w:val="101010"/>
          <w:sz w:val="18"/>
          <w:szCs w:val="18"/>
        </w:rPr>
      </w:pPr>
      <w:r>
        <w:rPr>
          <w:rFonts w:hint="default" w:ascii="Arial" w:hAnsi="Arial" w:cs="Arial"/>
          <w:color w:val="101010"/>
          <w:spacing w:val="-2"/>
          <w:sz w:val="18"/>
          <w:szCs w:val="18"/>
          <w:lang w:val="pt-BR"/>
        </w:rPr>
        <w:t xml:space="preserve">8.9.6.2.3 </w:t>
      </w:r>
      <w:r>
        <w:rPr>
          <w:rFonts w:hint="default" w:ascii="Arial" w:hAnsi="Arial" w:cs="Arial"/>
          <w:color w:val="101010"/>
          <w:sz w:val="18"/>
          <w:szCs w:val="18"/>
        </w:rPr>
        <w:t>Quando se tratar de sociedade constituída há menos de dois anos, os documentos referidos limitar– se–ão ao último exercício.</w:t>
      </w:r>
    </w:p>
    <w:p w14:paraId="4EE93A13">
      <w:pPr>
        <w:pStyle w:val="220"/>
        <w:numPr>
          <w:ilvl w:val="0"/>
          <w:numId w:val="0"/>
        </w:numPr>
        <w:pBdr>
          <w:top w:val="single" w:color="auto" w:sz="4" w:space="0"/>
          <w:left w:val="single" w:color="auto" w:sz="4" w:space="0"/>
          <w:bottom w:val="single" w:color="auto" w:sz="4" w:space="0"/>
          <w:right w:val="single" w:color="auto" w:sz="4" w:space="0"/>
        </w:pBdr>
        <w:spacing w:before="0" w:after="0" w:line="240" w:lineRule="auto"/>
        <w:ind w:leftChars="0" w:right="0" w:rightChars="0"/>
        <w:jc w:val="both"/>
        <w:rPr>
          <w:rFonts w:hint="default" w:ascii="Arial" w:hAnsi="Arial" w:cs="Arial"/>
          <w:color w:val="101010"/>
          <w:sz w:val="18"/>
          <w:szCs w:val="18"/>
        </w:rPr>
      </w:pPr>
    </w:p>
    <w:p w14:paraId="3D594A6A">
      <w:pPr>
        <w:pStyle w:val="220"/>
        <w:numPr>
          <w:ilvl w:val="0"/>
          <w:numId w:val="0"/>
        </w:numPr>
        <w:pBdr>
          <w:top w:val="single" w:color="auto" w:sz="4" w:space="0"/>
          <w:left w:val="single" w:color="auto" w:sz="4" w:space="0"/>
          <w:bottom w:val="single" w:color="auto" w:sz="4" w:space="0"/>
          <w:right w:val="single" w:color="auto" w:sz="4" w:space="0"/>
        </w:pBdr>
        <w:spacing w:before="0" w:after="0" w:line="360" w:lineRule="auto"/>
        <w:ind w:leftChars="0" w:right="0" w:rightChars="0"/>
        <w:jc w:val="both"/>
        <w:rPr>
          <w:rFonts w:hint="default" w:ascii="Arial" w:hAnsi="Arial" w:cs="Arial"/>
          <w:b/>
          <w:bCs/>
          <w:color w:val="101010"/>
          <w:sz w:val="18"/>
          <w:szCs w:val="18"/>
          <w:u w:val="single"/>
          <w:lang w:val="pt-BR"/>
        </w:rPr>
      </w:pPr>
      <w:r>
        <w:rPr>
          <w:rFonts w:hint="default" w:ascii="Arial" w:hAnsi="Arial" w:cs="Arial"/>
          <w:b/>
          <w:bCs/>
          <w:color w:val="101010"/>
          <w:sz w:val="18"/>
          <w:szCs w:val="18"/>
          <w:u w:val="single"/>
          <w:lang w:val="pt-BR"/>
        </w:rPr>
        <w:t>8.9.6.2.4 Quando a empresa for Microempreendedor Individual (MEI)</w:t>
      </w:r>
    </w:p>
    <w:p w14:paraId="4C5B785B">
      <w:pPr>
        <w:pStyle w:val="220"/>
        <w:numPr>
          <w:ilvl w:val="0"/>
          <w:numId w:val="0"/>
        </w:numPr>
        <w:pBdr>
          <w:top w:val="single" w:color="auto" w:sz="4" w:space="0"/>
          <w:left w:val="single" w:color="auto" w:sz="4" w:space="0"/>
          <w:bottom w:val="single" w:color="auto" w:sz="4" w:space="0"/>
          <w:right w:val="single" w:color="auto" w:sz="4" w:space="0"/>
        </w:pBdr>
        <w:spacing w:before="0" w:after="0" w:line="360" w:lineRule="auto"/>
        <w:ind w:leftChars="0" w:right="0" w:rightChars="0"/>
        <w:jc w:val="both"/>
        <w:rPr>
          <w:rFonts w:hint="default" w:ascii="Arial" w:hAnsi="Arial" w:eastAsia="helvetica" w:cs="Arial"/>
          <w:i w:val="0"/>
          <w:iCs w:val="0"/>
          <w:caps w:val="0"/>
          <w:color w:val="auto"/>
          <w:spacing w:val="0"/>
          <w:sz w:val="18"/>
          <w:szCs w:val="18"/>
          <w:shd w:val="clear" w:fill="FFFFFF"/>
        </w:rPr>
      </w:pPr>
      <w:r>
        <w:rPr>
          <w:rFonts w:hint="default" w:ascii="Arial" w:hAnsi="Arial" w:cs="Arial"/>
          <w:b/>
          <w:bCs/>
          <w:color w:val="auto"/>
          <w:sz w:val="18"/>
          <w:szCs w:val="18"/>
          <w:lang w:val="pt-BR"/>
        </w:rPr>
        <w:t xml:space="preserve">8.9.6.2.4.1 </w:t>
      </w:r>
      <w:r>
        <w:rPr>
          <w:rFonts w:hint="default" w:ascii="Arial" w:hAnsi="Arial" w:eastAsia="helvetica" w:cs="Arial"/>
          <w:i w:val="0"/>
          <w:iCs w:val="0"/>
          <w:caps w:val="0"/>
          <w:color w:val="auto"/>
          <w:spacing w:val="0"/>
          <w:sz w:val="18"/>
          <w:szCs w:val="18"/>
          <w:shd w:val="clear" w:fill="FFFFFF"/>
        </w:rPr>
        <w:t>O Microempreendedor Individual com base no art. 68 da Lei Complementar nº 123, de 14 de dezembro de 2006 é considerado </w:t>
      </w:r>
      <w:r>
        <w:rPr>
          <w:rStyle w:val="6"/>
          <w:rFonts w:hint="default" w:ascii="Arial" w:hAnsi="Arial" w:eastAsia="helvetica" w:cs="Arial"/>
          <w:b/>
          <w:bCs/>
          <w:i w:val="0"/>
          <w:iCs w:val="0"/>
          <w:caps w:val="0"/>
          <w:color w:val="auto"/>
          <w:spacing w:val="0"/>
          <w:sz w:val="18"/>
          <w:szCs w:val="18"/>
          <w:shd w:val="clear" w:fill="FFFFFF"/>
          <w:vertAlign w:val="baseline"/>
        </w:rPr>
        <w:t>pequeno empresário</w:t>
      </w:r>
      <w:r>
        <w:rPr>
          <w:rFonts w:hint="default" w:ascii="Arial" w:hAnsi="Arial" w:eastAsia="helvetica" w:cs="Arial"/>
          <w:i w:val="0"/>
          <w:iCs w:val="0"/>
          <w:caps w:val="0"/>
          <w:color w:val="auto"/>
          <w:spacing w:val="0"/>
          <w:sz w:val="18"/>
          <w:szCs w:val="18"/>
          <w:shd w:val="clear" w:fill="FFFFFF"/>
        </w:rPr>
        <w:t>, pelo qual</w:t>
      </w:r>
      <w:r>
        <w:rPr>
          <w:rStyle w:val="6"/>
          <w:rFonts w:hint="default" w:ascii="Arial" w:hAnsi="Arial" w:eastAsia="helvetica" w:cs="Arial"/>
          <w:b/>
          <w:bCs/>
          <w:i w:val="0"/>
          <w:iCs w:val="0"/>
          <w:caps w:val="0"/>
          <w:color w:val="auto"/>
          <w:spacing w:val="0"/>
          <w:sz w:val="18"/>
          <w:szCs w:val="18"/>
          <w:shd w:val="clear" w:fill="FFFFFF"/>
          <w:vertAlign w:val="baseline"/>
        </w:rPr>
        <w:t> faz jus a dispensa de apresentação do Balanço Patrimonial e Demonstrações Contábeis</w:t>
      </w:r>
      <w:r>
        <w:rPr>
          <w:rFonts w:hint="default" w:ascii="Arial" w:hAnsi="Arial" w:eastAsia="helvetica" w:cs="Arial"/>
          <w:i w:val="0"/>
          <w:iCs w:val="0"/>
          <w:caps w:val="0"/>
          <w:color w:val="auto"/>
          <w:spacing w:val="0"/>
          <w:sz w:val="18"/>
          <w:szCs w:val="18"/>
          <w:shd w:val="clear" w:fill="FFFFFF"/>
        </w:rPr>
        <w:t> em observância ao §2º do art. 1.179, do Código Civil.</w:t>
      </w:r>
    </w:p>
    <w:p w14:paraId="6D118F01">
      <w:pPr>
        <w:pStyle w:val="220"/>
        <w:numPr>
          <w:ilvl w:val="0"/>
          <w:numId w:val="0"/>
        </w:numPr>
        <w:pBdr>
          <w:top w:val="single" w:color="auto" w:sz="4" w:space="0"/>
          <w:left w:val="single" w:color="auto" w:sz="4" w:space="0"/>
          <w:bottom w:val="single" w:color="auto" w:sz="4" w:space="0"/>
          <w:right w:val="single" w:color="auto" w:sz="4" w:space="0"/>
        </w:pBdr>
        <w:spacing w:before="0" w:after="0" w:line="360" w:lineRule="auto"/>
        <w:ind w:leftChars="0" w:right="0" w:rightChars="0"/>
        <w:jc w:val="both"/>
        <w:rPr>
          <w:rFonts w:hint="default" w:ascii="Arial" w:hAnsi="Arial" w:eastAsia="sans-serif" w:cs="Arial"/>
          <w:i w:val="0"/>
          <w:iCs w:val="0"/>
          <w:caps w:val="0"/>
          <w:color w:val="auto"/>
          <w:spacing w:val="0"/>
          <w:sz w:val="18"/>
          <w:szCs w:val="18"/>
          <w:highlight w:val="yellow"/>
          <w:shd w:val="clear" w:fill="FFFFFF"/>
          <w:lang w:val="pt-BR"/>
        </w:rPr>
      </w:pPr>
      <w:r>
        <w:rPr>
          <w:rFonts w:hint="default" w:ascii="Arial" w:hAnsi="Arial" w:eastAsia="helvetica" w:cs="Arial"/>
          <w:i w:val="0"/>
          <w:iCs w:val="0"/>
          <w:caps w:val="0"/>
          <w:color w:val="auto"/>
          <w:spacing w:val="0"/>
          <w:sz w:val="18"/>
          <w:szCs w:val="18"/>
          <w:shd w:val="clear" w:fill="FFFFFF"/>
          <w:lang w:val="pt-BR"/>
        </w:rPr>
        <w:t xml:space="preserve">8.9.6.2.4.2 </w:t>
      </w:r>
      <w:r>
        <w:rPr>
          <w:rFonts w:hint="default" w:ascii="Arial" w:hAnsi="Arial" w:eastAsia="helvetica" w:cs="Arial"/>
          <w:i w:val="0"/>
          <w:iCs w:val="0"/>
          <w:caps w:val="0"/>
          <w:color w:val="auto"/>
          <w:spacing w:val="0"/>
          <w:sz w:val="18"/>
          <w:szCs w:val="18"/>
          <w:highlight w:val="yellow"/>
          <w:shd w:val="clear" w:fill="FFFFFF"/>
          <w:lang w:val="pt-BR"/>
        </w:rPr>
        <w:t xml:space="preserve">O Microempreendedor Individual é obrigado a comprovar através do </w:t>
      </w:r>
      <w:r>
        <w:rPr>
          <w:rFonts w:hint="default" w:ascii="Arial" w:hAnsi="Arial" w:eastAsia="Arial" w:cs="Arial"/>
          <w:i w:val="0"/>
          <w:iCs w:val="0"/>
          <w:caps w:val="0"/>
          <w:color w:val="auto"/>
          <w:spacing w:val="0"/>
          <w:sz w:val="18"/>
          <w:szCs w:val="18"/>
          <w:highlight w:val="yellow"/>
          <w:shd w:val="clear" w:fill="D3E3FD"/>
        </w:rPr>
        <w:t>Comprovante de Condição de Microempreendedor Individual (CCMEI)</w:t>
      </w:r>
      <w:r>
        <w:rPr>
          <w:rFonts w:hint="default" w:ascii="Arial" w:hAnsi="Arial" w:eastAsia="Arial" w:cs="Arial"/>
          <w:i w:val="0"/>
          <w:iCs w:val="0"/>
          <w:caps w:val="0"/>
          <w:color w:val="auto"/>
          <w:spacing w:val="0"/>
          <w:sz w:val="18"/>
          <w:szCs w:val="18"/>
          <w:highlight w:val="yellow"/>
          <w:shd w:val="clear" w:fill="D3E3FD"/>
          <w:lang w:val="pt-BR"/>
        </w:rPr>
        <w:t xml:space="preserve"> e a Declaração Anual do Simples Nacional </w:t>
      </w:r>
      <w:r>
        <w:rPr>
          <w:rFonts w:hint="default" w:ascii="Arial" w:hAnsi="Arial" w:eastAsia="sans-serif" w:cs="Arial"/>
          <w:i w:val="0"/>
          <w:iCs w:val="0"/>
          <w:caps w:val="0"/>
          <w:color w:val="auto"/>
          <w:spacing w:val="0"/>
          <w:sz w:val="18"/>
          <w:szCs w:val="18"/>
          <w:highlight w:val="yellow"/>
          <w:shd w:val="clear" w:fill="FFFFFF"/>
        </w:rPr>
        <w:t>DASN SIMEI</w:t>
      </w:r>
      <w:r>
        <w:rPr>
          <w:rFonts w:hint="default" w:ascii="Arial" w:hAnsi="Arial" w:eastAsia="sans-serif" w:cs="Arial"/>
          <w:i w:val="0"/>
          <w:iCs w:val="0"/>
          <w:caps w:val="0"/>
          <w:color w:val="auto"/>
          <w:spacing w:val="0"/>
          <w:sz w:val="18"/>
          <w:szCs w:val="18"/>
          <w:highlight w:val="yellow"/>
          <w:shd w:val="clear" w:fill="FFFFFF"/>
          <w:lang w:val="pt-BR"/>
        </w:rPr>
        <w:t xml:space="preserve"> dos últimos dois anos, sob pena de desclassificação.</w:t>
      </w:r>
    </w:p>
    <w:p w14:paraId="1800D772">
      <w:pPr>
        <w:pStyle w:val="220"/>
        <w:numPr>
          <w:ilvl w:val="0"/>
          <w:numId w:val="0"/>
        </w:numPr>
        <w:pBdr>
          <w:top w:val="single" w:color="auto" w:sz="4" w:space="0"/>
          <w:left w:val="single" w:color="auto" w:sz="4" w:space="0"/>
          <w:bottom w:val="single" w:color="auto" w:sz="4" w:space="0"/>
          <w:right w:val="single" w:color="auto" w:sz="4" w:space="0"/>
        </w:pBdr>
        <w:spacing w:before="0" w:after="0" w:line="360" w:lineRule="auto"/>
        <w:ind w:leftChars="0" w:right="0" w:rightChars="0"/>
        <w:jc w:val="both"/>
        <w:rPr>
          <w:rFonts w:hint="default" w:ascii="Arial" w:hAnsi="Arial" w:cs="Arial"/>
          <w:sz w:val="18"/>
          <w:szCs w:val="18"/>
        </w:rPr>
      </w:pPr>
      <w:r>
        <w:rPr>
          <w:rFonts w:hint="default" w:ascii="Arial" w:hAnsi="Arial" w:cs="Arial"/>
          <w:color w:val="101010"/>
          <w:spacing w:val="-2"/>
          <w:sz w:val="18"/>
          <w:szCs w:val="18"/>
          <w:lang w:val="pt-BR"/>
        </w:rPr>
        <w:t xml:space="preserve">8.9.6.2.3 </w:t>
      </w:r>
      <w:r>
        <w:rPr>
          <w:rFonts w:hint="default" w:ascii="Arial" w:hAnsi="Arial" w:cs="Arial"/>
          <w:color w:val="101010"/>
          <w:sz w:val="18"/>
          <w:szCs w:val="18"/>
        </w:rPr>
        <w:t xml:space="preserve">Quando se tratar de </w:t>
      </w:r>
      <w:r>
        <w:rPr>
          <w:rFonts w:hint="default" w:ascii="Arial" w:hAnsi="Arial" w:cs="Arial"/>
          <w:color w:val="101010"/>
          <w:sz w:val="18"/>
          <w:szCs w:val="18"/>
          <w:lang w:val="pt-BR"/>
        </w:rPr>
        <w:t>MEI</w:t>
      </w:r>
      <w:r>
        <w:rPr>
          <w:rFonts w:hint="default" w:ascii="Arial" w:hAnsi="Arial" w:cs="Arial"/>
          <w:color w:val="101010"/>
          <w:sz w:val="18"/>
          <w:szCs w:val="18"/>
        </w:rPr>
        <w:t xml:space="preserve"> </w:t>
      </w:r>
      <w:r>
        <w:rPr>
          <w:rFonts w:hint="default" w:ascii="Arial" w:hAnsi="Arial" w:cs="Arial"/>
          <w:color w:val="101010"/>
          <w:sz w:val="18"/>
          <w:szCs w:val="18"/>
          <w:lang w:val="pt-BR"/>
        </w:rPr>
        <w:t xml:space="preserve">inscrito </w:t>
      </w:r>
      <w:r>
        <w:rPr>
          <w:rFonts w:hint="default" w:ascii="Arial" w:hAnsi="Arial" w:cs="Arial"/>
          <w:color w:val="101010"/>
          <w:sz w:val="18"/>
          <w:szCs w:val="18"/>
        </w:rPr>
        <w:t>há menos de dois anos, os documentos referidos limitar– se–ão ao último exercício</w:t>
      </w:r>
      <w:r>
        <w:rPr>
          <w:rFonts w:hint="default" w:ascii="Arial" w:hAnsi="Arial" w:cs="Arial"/>
          <w:color w:val="101010"/>
          <w:sz w:val="18"/>
          <w:szCs w:val="18"/>
          <w:lang w:val="pt-BR"/>
        </w:rPr>
        <w:t>.</w:t>
      </w:r>
    </w:p>
    <w:p w14:paraId="4F33891A">
      <w:pPr>
        <w:pStyle w:val="304"/>
        <w:tabs>
          <w:tab w:val="left" w:pos="993"/>
        </w:tabs>
        <w:spacing w:before="0" w:after="0" w:line="360" w:lineRule="auto"/>
        <w:ind w:left="0"/>
        <w:rPr>
          <w:rFonts w:hint="default" w:ascii="Arial" w:hAnsi="Arial" w:cs="Arial"/>
          <w:sz w:val="18"/>
          <w:szCs w:val="18"/>
        </w:rPr>
      </w:pPr>
    </w:p>
    <w:p w14:paraId="7AD5C51D">
      <w:pPr>
        <w:pStyle w:val="304"/>
        <w:tabs>
          <w:tab w:val="left" w:pos="993"/>
        </w:tabs>
        <w:spacing w:before="0" w:after="0" w:line="360" w:lineRule="auto"/>
        <w:ind w:left="0"/>
        <w:rPr>
          <w:rFonts w:hint="default" w:ascii="Arial" w:hAnsi="Arial" w:cs="Arial"/>
          <w:sz w:val="18"/>
          <w:szCs w:val="18"/>
        </w:rPr>
      </w:pPr>
      <w:r>
        <w:rPr>
          <w:rFonts w:hint="default" w:ascii="Arial" w:hAnsi="Arial" w:cs="Arial"/>
          <w:sz w:val="18"/>
          <w:szCs w:val="18"/>
        </w:rPr>
        <w:t>8.9.7 Somente haverá a necessidade de comprovação do preenchimento de requisitos mediante apresentação dos documentos originais não-digitais quando houver dúvida em relação à integridade do documento digital ou quando a lei expressamente o exigir.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4"/>
          <w:rFonts w:hint="default" w:ascii="Arial" w:hAnsi="Arial" w:cs="Arial"/>
          <w:sz w:val="18"/>
          <w:szCs w:val="18"/>
        </w:rPr>
        <w:t>IN nº 3/2018, art. 4º, §1º, e art. 6º, §4º</w:t>
      </w:r>
      <w:r>
        <w:rPr>
          <w:rStyle w:val="324"/>
          <w:rFonts w:hint="default" w:ascii="Arial" w:hAnsi="Arial" w:cs="Arial"/>
          <w:sz w:val="18"/>
          <w:szCs w:val="18"/>
        </w:rPr>
        <w:fldChar w:fldCharType="end"/>
      </w:r>
      <w:r>
        <w:rPr>
          <w:rFonts w:hint="default" w:ascii="Arial" w:hAnsi="Arial" w:cs="Arial"/>
          <w:sz w:val="18"/>
          <w:szCs w:val="18"/>
        </w:rPr>
        <w:t>).</w:t>
      </w:r>
    </w:p>
    <w:p w14:paraId="6ED46D0B">
      <w:pPr>
        <w:pStyle w:val="304"/>
        <w:tabs>
          <w:tab w:val="left" w:pos="993"/>
        </w:tabs>
        <w:spacing w:before="0" w:after="0" w:line="240" w:lineRule="auto"/>
        <w:ind w:left="0"/>
        <w:rPr>
          <w:rFonts w:hint="default" w:ascii="Arial" w:hAnsi="Arial" w:cs="Arial"/>
          <w:sz w:val="18"/>
          <w:szCs w:val="18"/>
        </w:rPr>
      </w:pPr>
    </w:p>
    <w:p w14:paraId="793331B7">
      <w:pPr>
        <w:pStyle w:val="220"/>
        <w:tabs>
          <w:tab w:val="left" w:pos="993"/>
        </w:tabs>
        <w:spacing w:line="360" w:lineRule="auto"/>
        <w:ind w:left="0"/>
        <w:jc w:val="both"/>
        <w:rPr>
          <w:rFonts w:hint="default" w:ascii="Arial" w:hAnsi="Arial" w:eastAsia="Calibri" w:cs="Arial"/>
          <w:sz w:val="18"/>
          <w:szCs w:val="18"/>
        </w:rPr>
      </w:pPr>
      <w:r>
        <w:rPr>
          <w:rFonts w:hint="default" w:ascii="Arial" w:hAnsi="Arial" w:eastAsia="Arial" w:cs="Arial"/>
          <w:b/>
          <w:sz w:val="18"/>
          <w:szCs w:val="18"/>
        </w:rPr>
        <w:t>8.9.8 Documentação Complementar:</w:t>
      </w:r>
    </w:p>
    <w:p w14:paraId="0F21DAAE">
      <w:pPr>
        <w:tabs>
          <w:tab w:val="left" w:pos="993"/>
        </w:tabs>
        <w:spacing w:line="360" w:lineRule="auto"/>
        <w:jc w:val="both"/>
        <w:rPr>
          <w:rFonts w:hint="default" w:ascii="Arial" w:hAnsi="Arial" w:eastAsia="Calibri" w:cs="Arial"/>
          <w:sz w:val="18"/>
          <w:szCs w:val="18"/>
        </w:rPr>
      </w:pPr>
      <w:r>
        <w:rPr>
          <w:rFonts w:hint="default" w:ascii="Arial" w:hAnsi="Arial" w:eastAsia="Arial" w:cs="Arial"/>
          <w:sz w:val="18"/>
          <w:szCs w:val="18"/>
        </w:rPr>
        <w:t>8.9.8.1 Serão exigidas, ademais, dos licitantes as declarações dos arts 62 e ss da NLLC.</w:t>
      </w:r>
    </w:p>
    <w:p w14:paraId="07F620EA">
      <w:pPr>
        <w:pStyle w:val="220"/>
        <w:spacing w:line="360" w:lineRule="auto"/>
        <w:ind w:left="0"/>
        <w:jc w:val="both"/>
        <w:rPr>
          <w:rFonts w:hint="default" w:ascii="Arial" w:hAnsi="Arial" w:eastAsia="Arial" w:cs="Arial"/>
          <w:b/>
          <w:sz w:val="18"/>
          <w:szCs w:val="18"/>
        </w:rPr>
      </w:pPr>
      <w:r>
        <w:rPr>
          <w:rFonts w:hint="default" w:ascii="Arial" w:hAnsi="Arial" w:eastAsia="Arial" w:cs="Arial"/>
          <w:sz w:val="18"/>
          <w:szCs w:val="18"/>
        </w:rPr>
        <w:t>8.9.8.1.1 Declaração de que está ciente e concorda com as condições contidas neste Edital e seus anexos, bem como de que cumpre plenamente os requisitos de habilitação definidos no referido documento</w:t>
      </w:r>
      <w:r>
        <w:rPr>
          <w:rFonts w:hint="default" w:ascii="Arial" w:hAnsi="Arial" w:eastAsia="Arial" w:cs="Arial"/>
          <w:sz w:val="18"/>
          <w:szCs w:val="18"/>
          <w:lang w:val="pt-BR"/>
        </w:rPr>
        <w:t xml:space="preserve"> e o cumprimento da Lei LGPD</w:t>
      </w:r>
      <w:r>
        <w:rPr>
          <w:rFonts w:hint="default" w:ascii="Arial" w:hAnsi="Arial" w:eastAsia="Arial" w:cs="Arial"/>
          <w:sz w:val="18"/>
          <w:szCs w:val="18"/>
        </w:rPr>
        <w:t xml:space="preserve">, para todos os efeitos legais, sob pena de aplicação das sanções cabíveis. </w:t>
      </w:r>
      <w:r>
        <w:rPr>
          <w:rFonts w:hint="default" w:ascii="Arial" w:hAnsi="Arial" w:eastAsia="Arial" w:cs="Arial"/>
          <w:b/>
          <w:sz w:val="18"/>
          <w:szCs w:val="18"/>
        </w:rPr>
        <w:t>(conforme modelo anexo IV)</w:t>
      </w:r>
    </w:p>
    <w:p w14:paraId="5F97C590">
      <w:pPr>
        <w:pStyle w:val="220"/>
        <w:spacing w:line="360" w:lineRule="auto"/>
        <w:ind w:left="0"/>
        <w:jc w:val="both"/>
        <w:rPr>
          <w:rFonts w:hint="default" w:ascii="Arial" w:hAnsi="Arial" w:eastAsia="Calibri" w:cs="Arial"/>
          <w:sz w:val="18"/>
          <w:szCs w:val="18"/>
        </w:rPr>
      </w:pPr>
      <w:r>
        <w:rPr>
          <w:rFonts w:hint="default" w:ascii="Arial" w:hAnsi="Arial" w:eastAsia="Arial" w:cs="Arial"/>
          <w:sz w:val="18"/>
          <w:szCs w:val="18"/>
        </w:rPr>
        <w:t xml:space="preserve">8.9.8.1.2 Declaração de que cumpre as exigências de reserva de cargos para pessoa com deficiência e para reabilitado da Previdência Social, previstas em lei e em outras normas específicas. </w:t>
      </w:r>
      <w:r>
        <w:rPr>
          <w:rFonts w:hint="default" w:ascii="Arial" w:hAnsi="Arial" w:eastAsia="Arial" w:cs="Arial"/>
          <w:b/>
          <w:sz w:val="18"/>
          <w:szCs w:val="18"/>
        </w:rPr>
        <w:t>(conforme modelo anexo V)</w:t>
      </w:r>
    </w:p>
    <w:p w14:paraId="4E9FBD97">
      <w:pPr>
        <w:pStyle w:val="220"/>
        <w:spacing w:line="360" w:lineRule="auto"/>
        <w:ind w:left="0"/>
        <w:jc w:val="both"/>
        <w:rPr>
          <w:rFonts w:hint="default" w:ascii="Arial" w:hAnsi="Arial" w:eastAsia="Calibri" w:cs="Arial"/>
          <w:sz w:val="18"/>
          <w:szCs w:val="18"/>
        </w:rPr>
      </w:pPr>
      <w:r>
        <w:rPr>
          <w:rFonts w:hint="default" w:ascii="Arial" w:hAnsi="Arial" w:eastAsia="Arial" w:cs="Arial"/>
          <w:sz w:val="18"/>
          <w:szCs w:val="18"/>
        </w:rPr>
        <w:t>8.9.8.1.3 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hint="default" w:ascii="Arial" w:hAnsi="Arial" w:eastAsia="Arial" w:cs="Arial"/>
          <w:b/>
          <w:sz w:val="18"/>
          <w:szCs w:val="18"/>
        </w:rPr>
        <w:t>conforme modelo anexo VI)</w:t>
      </w:r>
    </w:p>
    <w:p w14:paraId="58EDE80C">
      <w:pPr>
        <w:pStyle w:val="220"/>
        <w:spacing w:line="360" w:lineRule="auto"/>
        <w:ind w:left="0"/>
        <w:jc w:val="both"/>
        <w:rPr>
          <w:rFonts w:hint="default" w:ascii="Arial" w:hAnsi="Arial" w:eastAsia="Arial" w:cs="Arial"/>
          <w:b/>
          <w:sz w:val="18"/>
          <w:szCs w:val="18"/>
        </w:rPr>
      </w:pPr>
      <w:r>
        <w:rPr>
          <w:rFonts w:hint="default" w:ascii="Arial" w:hAnsi="Arial" w:eastAsia="Arial" w:cs="Arial"/>
          <w:sz w:val="18"/>
          <w:szCs w:val="18"/>
        </w:rPr>
        <w:t xml:space="preserve">8.9.8.1.4  Declaração de que não possui em seu quadro de pessoal ou societário, servidor do Poder Executivo Municipal, nos termos do art. 9º, § 1º da Lei nº 14.133/2021. </w:t>
      </w:r>
      <w:r>
        <w:rPr>
          <w:rFonts w:hint="default" w:ascii="Arial" w:hAnsi="Arial" w:eastAsia="Arial" w:cs="Arial"/>
          <w:b/>
          <w:sz w:val="18"/>
          <w:szCs w:val="18"/>
        </w:rPr>
        <w:t>(conforme modelo anexo VII)</w:t>
      </w:r>
    </w:p>
    <w:p w14:paraId="21D878D6">
      <w:pPr>
        <w:pStyle w:val="220"/>
        <w:spacing w:line="360" w:lineRule="auto"/>
        <w:ind w:left="0"/>
        <w:jc w:val="both"/>
        <w:rPr>
          <w:rFonts w:hint="default" w:ascii="Arial" w:hAnsi="Arial" w:eastAsia="Calibri" w:cs="Arial"/>
          <w:sz w:val="18"/>
          <w:szCs w:val="18"/>
        </w:rPr>
      </w:pPr>
      <w:r>
        <w:rPr>
          <w:rFonts w:hint="default" w:ascii="Arial" w:hAnsi="Arial" w:eastAsia="Arial" w:cs="Arial"/>
          <w:sz w:val="18"/>
          <w:szCs w:val="18"/>
        </w:rPr>
        <w:t xml:space="preserve">8.9.8.1.5 </w:t>
      </w:r>
      <w:r>
        <w:rPr>
          <w:rFonts w:hint="default" w:ascii="Arial" w:hAnsi="Arial" w:cs="Arial"/>
          <w:sz w:val="18"/>
          <w:szCs w:val="18"/>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hint="default" w:ascii="Arial" w:hAnsi="Arial" w:cs="Arial"/>
          <w:b/>
          <w:sz w:val="18"/>
          <w:szCs w:val="18"/>
        </w:rPr>
        <w:t>(</w:t>
      </w:r>
      <w:r>
        <w:rPr>
          <w:rFonts w:hint="default" w:ascii="Arial" w:hAnsi="Arial" w:eastAsia="Arial" w:cs="Arial"/>
          <w:b/>
          <w:sz w:val="18"/>
          <w:szCs w:val="18"/>
        </w:rPr>
        <w:t>conforme modelo anexo VIII)</w:t>
      </w:r>
    </w:p>
    <w:p w14:paraId="5D873A61">
      <w:pPr>
        <w:pStyle w:val="220"/>
        <w:spacing w:line="360" w:lineRule="auto"/>
        <w:ind w:left="0"/>
        <w:jc w:val="both"/>
        <w:rPr>
          <w:rFonts w:hint="default" w:ascii="Arial" w:hAnsi="Arial" w:eastAsia="Calibri" w:cs="Arial"/>
          <w:sz w:val="18"/>
          <w:szCs w:val="18"/>
        </w:rPr>
      </w:pPr>
      <w:r>
        <w:rPr>
          <w:rFonts w:hint="default" w:ascii="Arial" w:hAnsi="Arial" w:eastAsia="Arial" w:cs="Arial"/>
          <w:sz w:val="18"/>
          <w:szCs w:val="18"/>
        </w:rPr>
        <w:t xml:space="preserve">8.9.8.1.6  </w:t>
      </w:r>
      <w:r>
        <w:rPr>
          <w:rFonts w:hint="default" w:ascii="Arial" w:hAnsi="Arial" w:cs="Arial"/>
          <w:sz w:val="18"/>
          <w:szCs w:val="18"/>
        </w:rPr>
        <w:t xml:space="preserve">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hint="default" w:ascii="Arial" w:hAnsi="Arial" w:cs="Arial"/>
          <w:b/>
          <w:sz w:val="18"/>
          <w:szCs w:val="18"/>
        </w:rPr>
        <w:t>(</w:t>
      </w:r>
      <w:r>
        <w:rPr>
          <w:rFonts w:hint="default" w:ascii="Arial" w:hAnsi="Arial" w:eastAsia="Arial" w:cs="Arial"/>
          <w:b/>
          <w:sz w:val="18"/>
          <w:szCs w:val="18"/>
        </w:rPr>
        <w:t>conforme modelo anexo IX)</w:t>
      </w:r>
    </w:p>
    <w:p w14:paraId="47818173">
      <w:pPr>
        <w:pStyle w:val="220"/>
        <w:spacing w:line="360" w:lineRule="auto"/>
        <w:ind w:left="0"/>
        <w:jc w:val="both"/>
        <w:rPr>
          <w:rFonts w:hint="default" w:ascii="Arial" w:hAnsi="Arial" w:eastAsia="Arial" w:cs="Arial"/>
          <w:b/>
          <w:sz w:val="18"/>
          <w:szCs w:val="18"/>
        </w:rPr>
      </w:pPr>
      <w:r>
        <w:rPr>
          <w:rFonts w:hint="default" w:ascii="Arial" w:hAnsi="Arial" w:eastAsia="Arial" w:cs="Arial"/>
          <w:sz w:val="18"/>
          <w:szCs w:val="18"/>
        </w:rPr>
        <w:t xml:space="preserve">8.9.8.1.7 Declaração de que não há sanções vigentes que legalmente proíbam a participante de licitar e/ou contratar com o contratante. </w:t>
      </w:r>
      <w:r>
        <w:rPr>
          <w:rFonts w:hint="default" w:ascii="Arial" w:hAnsi="Arial" w:eastAsia="Arial" w:cs="Arial"/>
          <w:b/>
          <w:sz w:val="18"/>
          <w:szCs w:val="18"/>
        </w:rPr>
        <w:t>(conforme modelo anexo X)</w:t>
      </w:r>
    </w:p>
    <w:p w14:paraId="68AFA721">
      <w:pPr>
        <w:pStyle w:val="220"/>
        <w:spacing w:line="360" w:lineRule="auto"/>
        <w:ind w:left="0"/>
        <w:jc w:val="both"/>
        <w:rPr>
          <w:rFonts w:hint="default" w:ascii="Arial" w:hAnsi="Arial" w:eastAsia="Arial" w:cs="Arial"/>
          <w:b/>
          <w:sz w:val="18"/>
          <w:szCs w:val="18"/>
        </w:rPr>
      </w:pPr>
      <w:r>
        <w:rPr>
          <w:rFonts w:hint="default" w:ascii="Arial" w:hAnsi="Arial" w:eastAsia="Arial" w:cs="Arial"/>
          <w:sz w:val="18"/>
          <w:szCs w:val="18"/>
        </w:rPr>
        <w:t>8.9.8.1.</w:t>
      </w:r>
      <w:r>
        <w:rPr>
          <w:rFonts w:hint="default" w:ascii="Arial" w:hAnsi="Arial" w:eastAsia="Arial" w:cs="Arial"/>
          <w:sz w:val="18"/>
          <w:szCs w:val="18"/>
          <w:lang w:val="pt-BR"/>
        </w:rPr>
        <w:t>8</w:t>
      </w:r>
      <w:r>
        <w:rPr>
          <w:rFonts w:hint="default" w:ascii="Arial" w:hAnsi="Arial" w:eastAsia="Arial" w:cs="Arial"/>
          <w:sz w:val="18"/>
          <w:szCs w:val="18"/>
        </w:rPr>
        <w:t xml:space="preserve"> Declaração de que</w:t>
      </w:r>
      <w:r>
        <w:rPr>
          <w:rFonts w:hint="default" w:ascii="Arial" w:hAnsi="Arial" w:eastAsia="Arial" w:cs="Arial"/>
          <w:sz w:val="18"/>
          <w:szCs w:val="18"/>
          <w:lang w:val="pt-BR"/>
        </w:rPr>
        <w:t xml:space="preserve"> </w:t>
      </w:r>
      <w:r>
        <w:rPr>
          <w:rFonts w:hint="default" w:ascii="Arial" w:hAnsi="Arial" w:cs="Arial"/>
          <w:sz w:val="18"/>
          <w:szCs w:val="18"/>
        </w:rPr>
        <w:t xml:space="preserve">não emprega menor de 18 anos em trabalho noturno, perigoso ou insalubre e não emprega menor de 16 anos, salvo menor, a partir de 14 anos, na condição de aprendiz, nos termos do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"art7" </w:instrText>
      </w:r>
      <w:r>
        <w:rPr>
          <w:rFonts w:hint="default" w:ascii="Arial" w:hAnsi="Arial" w:cs="Arial"/>
          <w:sz w:val="18"/>
          <w:szCs w:val="18"/>
        </w:rPr>
        <w:fldChar w:fldCharType="separate"/>
      </w:r>
      <w:r>
        <w:rPr>
          <w:rStyle w:val="325"/>
          <w:rFonts w:hint="default" w:ascii="Arial" w:hAnsi="Arial" w:cs="Arial"/>
          <w:sz w:val="18"/>
          <w:szCs w:val="18"/>
        </w:rPr>
        <w:t>artigo 7°, XXXIII, da Constituição</w:t>
      </w:r>
      <w:r>
        <w:rPr>
          <w:rStyle w:val="325"/>
          <w:rFonts w:hint="default" w:ascii="Arial" w:hAnsi="Arial" w:cs="Arial"/>
          <w:sz w:val="18"/>
          <w:szCs w:val="18"/>
        </w:rPr>
        <w:fldChar w:fldCharType="end"/>
      </w:r>
      <w:r>
        <w:rPr>
          <w:rFonts w:hint="default" w:ascii="Arial" w:hAnsi="Arial" w:cs="Arial"/>
          <w:sz w:val="18"/>
          <w:szCs w:val="18"/>
        </w:rPr>
        <w:t>;</w:t>
      </w:r>
      <w:r>
        <w:rPr>
          <w:rFonts w:hint="default" w:ascii="Arial" w:hAnsi="Arial" w:cs="Arial"/>
          <w:sz w:val="18"/>
          <w:szCs w:val="18"/>
          <w:lang w:val="pt-BR"/>
        </w:rPr>
        <w:t xml:space="preserve"> </w:t>
      </w:r>
      <w:r>
        <w:rPr>
          <w:rFonts w:hint="default" w:ascii="Arial" w:hAnsi="Arial" w:eastAsia="Arial" w:cs="Arial"/>
          <w:b/>
          <w:sz w:val="18"/>
          <w:szCs w:val="18"/>
        </w:rPr>
        <w:t>(conforme modelo anexo X</w:t>
      </w:r>
      <w:r>
        <w:rPr>
          <w:rFonts w:hint="default" w:ascii="Arial" w:hAnsi="Arial" w:eastAsia="Arial" w:cs="Arial"/>
          <w:b/>
          <w:sz w:val="18"/>
          <w:szCs w:val="18"/>
          <w:lang w:val="pt-BR"/>
        </w:rPr>
        <w:t>I</w:t>
      </w:r>
      <w:r>
        <w:rPr>
          <w:rFonts w:hint="default" w:ascii="Arial" w:hAnsi="Arial" w:eastAsia="Arial" w:cs="Arial"/>
          <w:b/>
          <w:sz w:val="18"/>
          <w:szCs w:val="18"/>
        </w:rPr>
        <w:t>)</w:t>
      </w:r>
    </w:p>
    <w:p w14:paraId="36B3A43F">
      <w:pPr>
        <w:autoSpaceDE w:val="0"/>
        <w:autoSpaceDN w:val="0"/>
        <w:adjustRightInd w:val="0"/>
        <w:spacing w:line="360" w:lineRule="auto"/>
        <w:jc w:val="both"/>
        <w:rPr>
          <w:rFonts w:hint="default" w:ascii="Arial" w:hAnsi="Arial" w:cs="Arial"/>
          <w:b/>
          <w:sz w:val="20"/>
          <w:szCs w:val="20"/>
          <w:shd w:val="clear" w:color="auto" w:fill="FFFFFF"/>
          <w:lang w:val="pt-BR"/>
        </w:rPr>
      </w:pPr>
      <w:r>
        <w:rPr>
          <w:rFonts w:hint="default" w:ascii="Arial" w:hAnsi="Arial" w:eastAsia="Arial" w:cs="Arial"/>
          <w:b/>
          <w:sz w:val="18"/>
          <w:szCs w:val="18"/>
          <w:lang w:val="pt-BR"/>
        </w:rPr>
        <w:t xml:space="preserve">8.9.8.1.8 (Para as empresas que se enquadram como ME/EPP/Equiparadas) </w:t>
      </w:r>
      <w:r>
        <w:rPr>
          <w:rFonts w:ascii="Arial" w:hAnsi="Arial" w:cs="Arial" w:eastAsiaTheme="minorHAnsi"/>
          <w:b w:val="0"/>
          <w:bCs w:val="0"/>
          <w:sz w:val="18"/>
          <w:szCs w:val="18"/>
          <w:u w:val="single"/>
        </w:rPr>
        <w:t xml:space="preserve">MODELO DE DECLARAÇÃO DE </w:t>
      </w:r>
      <w:r>
        <w:rPr>
          <w:rFonts w:ascii="Arial" w:hAnsi="Arial" w:cs="Arial"/>
          <w:b w:val="0"/>
          <w:bCs w:val="0"/>
          <w:sz w:val="18"/>
          <w:szCs w:val="18"/>
          <w:u w:val="single"/>
          <w:shd w:val="clear" w:color="auto" w:fill="FFFFFF"/>
        </w:rPr>
        <w:t>MICROEMPRESA OU EMPRESA DE PEQUENO PORTE, MICROEMPREENDEDOR INDIVIDUAL, PRODUTOR RURAL PESSOA FÍSICA, AGRICULTOR FAMILIAR OU SOCIEDADE COOPERATIVA.</w:t>
      </w:r>
      <w:r>
        <w:rPr>
          <w:rFonts w:hint="default" w:ascii="Arial" w:hAnsi="Arial" w:cs="Arial"/>
          <w:b w:val="0"/>
          <w:bCs w:val="0"/>
          <w:sz w:val="18"/>
          <w:szCs w:val="18"/>
          <w:u w:val="single"/>
          <w:shd w:val="clear" w:color="auto" w:fill="FFFFFF"/>
          <w:lang w:val="pt-BR"/>
        </w:rPr>
        <w:t xml:space="preserve"> </w:t>
      </w:r>
      <w:r>
        <w:rPr>
          <w:rFonts w:hint="default" w:ascii="Arial" w:hAnsi="Arial" w:cs="Arial"/>
          <w:b/>
          <w:bCs/>
          <w:sz w:val="18"/>
          <w:szCs w:val="18"/>
          <w:u w:val="none"/>
          <w:shd w:val="clear" w:color="auto" w:fill="FFFFFF"/>
          <w:lang w:val="pt-BR"/>
        </w:rPr>
        <w:t>(conforme modelo anexo XII)</w:t>
      </w:r>
    </w:p>
    <w:p w14:paraId="05FF5844">
      <w:pPr>
        <w:pStyle w:val="220"/>
        <w:spacing w:line="240" w:lineRule="auto"/>
        <w:ind w:left="0"/>
        <w:jc w:val="both"/>
        <w:rPr>
          <w:rFonts w:hint="default" w:ascii="Arial" w:hAnsi="Arial" w:eastAsia="Arial" w:cs="Arial"/>
          <w:b/>
          <w:sz w:val="18"/>
          <w:szCs w:val="18"/>
        </w:rPr>
      </w:pPr>
    </w:p>
    <w:p w14:paraId="1F1BD9CB">
      <w:pPr>
        <w:pStyle w:val="303"/>
        <w:numPr>
          <w:ilvl w:val="0"/>
          <w:numId w:val="0"/>
        </w:numPr>
        <w:spacing w:before="0" w:after="0" w:line="360" w:lineRule="auto"/>
        <w:ind w:leftChars="0"/>
        <w:rPr>
          <w:rFonts w:hint="default" w:ascii="Arial" w:hAnsi="Arial" w:eastAsia="Times New Roman" w:cs="Arial"/>
          <w:sz w:val="18"/>
          <w:szCs w:val="18"/>
        </w:rPr>
      </w:pPr>
      <w:r>
        <w:rPr>
          <w:rFonts w:hint="default" w:cs="Arial"/>
          <w:sz w:val="18"/>
          <w:szCs w:val="18"/>
          <w:lang w:val="pt-BR"/>
        </w:rPr>
        <w:t>8</w:t>
      </w:r>
      <w:r>
        <w:rPr>
          <w:rFonts w:hint="default" w:ascii="Arial" w:hAnsi="Arial" w:cs="Arial"/>
          <w:sz w:val="18"/>
          <w:szCs w:val="18"/>
          <w:lang w:val="pt-BR"/>
        </w:rPr>
        <w:t xml:space="preserve">.10 </w:t>
      </w:r>
      <w:r>
        <w:rPr>
          <w:rFonts w:hint="default" w:ascii="Arial" w:hAnsi="Arial" w:cs="Arial"/>
          <w:sz w:val="18"/>
          <w:szCs w:val="18"/>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4"/>
          <w:rFonts w:hint="default" w:ascii="Arial" w:hAnsi="Arial" w:cs="Arial"/>
          <w:sz w:val="18"/>
          <w:szCs w:val="18"/>
        </w:rPr>
        <w:t xml:space="preserve">IN nº 3/2018, art. 7º, </w:t>
      </w:r>
      <w:r>
        <w:rPr>
          <w:rStyle w:val="324"/>
          <w:rFonts w:hint="default" w:ascii="Arial" w:hAnsi="Arial" w:cs="Arial"/>
          <w:i/>
          <w:iCs/>
          <w:sz w:val="18"/>
          <w:szCs w:val="18"/>
        </w:rPr>
        <w:t>caput</w:t>
      </w:r>
      <w:r>
        <w:rPr>
          <w:rStyle w:val="324"/>
          <w:rFonts w:hint="default" w:ascii="Arial" w:hAnsi="Arial" w:cs="Arial"/>
          <w:i/>
          <w:iCs/>
          <w:sz w:val="18"/>
          <w:szCs w:val="18"/>
        </w:rPr>
        <w:fldChar w:fldCharType="end"/>
      </w:r>
      <w:r>
        <w:rPr>
          <w:rFonts w:hint="default" w:ascii="Arial" w:hAnsi="Arial" w:cs="Arial"/>
          <w:sz w:val="18"/>
          <w:szCs w:val="18"/>
        </w:rPr>
        <w:t>).</w:t>
      </w:r>
    </w:p>
    <w:p w14:paraId="7DE857B9">
      <w:pPr>
        <w:pStyle w:val="304"/>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8.10.1 </w:t>
      </w:r>
      <w:r>
        <w:rPr>
          <w:rFonts w:hint="default" w:ascii="Arial" w:hAnsi="Arial" w:cs="Arial"/>
          <w:sz w:val="18"/>
          <w:szCs w:val="18"/>
        </w:rPr>
        <w:t>A não observância do disposto no item anterior poderá ensejar desclassificação no momento da habilitação.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4"/>
          <w:rFonts w:hint="default" w:ascii="Arial" w:hAnsi="Arial" w:cs="Arial"/>
          <w:sz w:val="18"/>
          <w:szCs w:val="18"/>
        </w:rPr>
        <w:t>IN nº 3/2018, art. 7º, parágrafo único</w:t>
      </w:r>
      <w:r>
        <w:rPr>
          <w:rStyle w:val="324"/>
          <w:rFonts w:hint="default" w:ascii="Arial" w:hAnsi="Arial" w:cs="Arial"/>
          <w:sz w:val="18"/>
          <w:szCs w:val="18"/>
        </w:rPr>
        <w:fldChar w:fldCharType="end"/>
      </w:r>
      <w:r>
        <w:rPr>
          <w:rFonts w:hint="default" w:ascii="Arial" w:hAnsi="Arial" w:cs="Arial"/>
          <w:sz w:val="18"/>
          <w:szCs w:val="18"/>
        </w:rPr>
        <w:t>).</w:t>
      </w:r>
    </w:p>
    <w:p w14:paraId="75818531">
      <w:pPr>
        <w:pStyle w:val="303"/>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8.11 </w:t>
      </w:r>
      <w:r>
        <w:rPr>
          <w:rFonts w:hint="default" w:ascii="Arial" w:hAnsi="Arial" w:cs="Arial"/>
          <w:sz w:val="18"/>
          <w:szCs w:val="18"/>
        </w:rPr>
        <w:t>A verificação pelo Agente de Contratação, em sítios eletrônicos oficiais de órgãos e entidades emissores de certidões constitui meio legal de prova, para fins de habilitação.</w:t>
      </w:r>
    </w:p>
    <w:p w14:paraId="48DC6E40">
      <w:pPr>
        <w:pStyle w:val="304"/>
        <w:numPr>
          <w:ilvl w:val="0"/>
          <w:numId w:val="0"/>
        </w:numPr>
        <w:spacing w:before="0" w:after="0" w:line="360" w:lineRule="auto"/>
        <w:ind w:leftChars="0"/>
        <w:rPr>
          <w:rFonts w:hint="default" w:ascii="Arial" w:hAnsi="Arial" w:cs="Arial"/>
          <w:i/>
          <w:iCs/>
          <w:sz w:val="18"/>
          <w:szCs w:val="18"/>
        </w:rPr>
      </w:pPr>
      <w:bookmarkStart w:id="21" w:name="_Ref114663151"/>
      <w:bookmarkEnd w:id="21"/>
      <w:r>
        <w:rPr>
          <w:rFonts w:hint="default" w:ascii="Arial" w:hAnsi="Arial" w:cs="Arial"/>
          <w:b/>
          <w:sz w:val="18"/>
          <w:szCs w:val="18"/>
          <w:highlight w:val="yellow"/>
          <w:lang w:val="pt-BR"/>
        </w:rPr>
        <w:t xml:space="preserve">8.12 </w:t>
      </w:r>
      <w:r>
        <w:rPr>
          <w:rFonts w:hint="default" w:ascii="Arial" w:hAnsi="Arial" w:cs="Arial"/>
          <w:b/>
          <w:sz w:val="18"/>
          <w:szCs w:val="18"/>
          <w:highlight w:val="yellow"/>
        </w:rPr>
        <w:t>Os documentos exigidos para habilitação que não estejam contemplados no Sicaf serão enviados por meio do sistema, em formato digital, no prazo de 2 (DUAS HORAS), prorrogável por igual período</w:t>
      </w:r>
      <w:r>
        <w:rPr>
          <w:rFonts w:hint="default" w:ascii="Arial" w:hAnsi="Arial" w:cs="Arial"/>
          <w:b/>
          <w:sz w:val="18"/>
          <w:szCs w:val="18"/>
          <w:highlight w:val="yellow"/>
          <w:lang w:val="pt-BR"/>
        </w:rPr>
        <w:t xml:space="preserve"> desde que solicitado pelo licitante dentro do prazo determinado e concedido pelo</w:t>
      </w:r>
      <w:r>
        <w:rPr>
          <w:rFonts w:hint="default" w:ascii="Arial" w:hAnsi="Arial" w:cs="Arial"/>
          <w:b/>
          <w:sz w:val="18"/>
          <w:szCs w:val="18"/>
          <w:highlight w:val="yellow"/>
        </w:rPr>
        <w:t xml:space="preserve"> Agente de Contratação.</w:t>
      </w:r>
    </w:p>
    <w:p w14:paraId="559774C7">
      <w:pPr>
        <w:pStyle w:val="304"/>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8.13 </w:t>
      </w:r>
      <w:r>
        <w:rPr>
          <w:rFonts w:hint="default" w:ascii="Arial" w:hAnsi="Arial" w:cs="Arial"/>
          <w:sz w:val="18"/>
          <w:szCs w:val="18"/>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"https://www.gov.br/compras/pt-br/acesso-a-informacao/legislacao/instrucoes-normativas/instrucao-normativa-seges-me-no-73-de-30-de-setembro-de-2022" </w:instrText>
      </w:r>
      <w:r>
        <w:rPr>
          <w:rFonts w:hint="default" w:ascii="Arial" w:hAnsi="Arial" w:cs="Arial"/>
          <w:sz w:val="18"/>
          <w:szCs w:val="18"/>
        </w:rPr>
        <w:fldChar w:fldCharType="separate"/>
      </w:r>
      <w:r>
        <w:rPr>
          <w:rStyle w:val="324"/>
          <w:rFonts w:hint="default" w:ascii="Arial" w:hAnsi="Arial" w:cs="Arial"/>
          <w:sz w:val="18"/>
          <w:szCs w:val="18"/>
        </w:rPr>
        <w:t xml:space="preserve">§ 1º do art. 36 e no § 1º do art. 39 da </w:t>
      </w:r>
      <w:r>
        <w:rPr>
          <w:rStyle w:val="324"/>
          <w:rFonts w:hint="default" w:ascii="Arial" w:hAnsi="Arial" w:cs="Arial"/>
          <w:i/>
          <w:iCs/>
          <w:sz w:val="18"/>
          <w:szCs w:val="18"/>
        </w:rPr>
        <w:t>Instrução Normativa SEGES nº 73, de 30 de setembro de 2022</w:t>
      </w:r>
      <w:r>
        <w:rPr>
          <w:rStyle w:val="324"/>
          <w:rFonts w:hint="default" w:ascii="Arial" w:hAnsi="Arial" w:cs="Arial"/>
          <w:sz w:val="18"/>
          <w:szCs w:val="18"/>
        </w:rPr>
        <w:t>.</w:t>
      </w:r>
      <w:r>
        <w:rPr>
          <w:rStyle w:val="324"/>
          <w:rFonts w:hint="default" w:ascii="Arial" w:hAnsi="Arial" w:cs="Arial"/>
          <w:sz w:val="18"/>
          <w:szCs w:val="18"/>
        </w:rPr>
        <w:fldChar w:fldCharType="end"/>
      </w:r>
    </w:p>
    <w:p w14:paraId="621F3228">
      <w:pPr>
        <w:pStyle w:val="303"/>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8.14 </w:t>
      </w:r>
      <w:r>
        <w:rPr>
          <w:rFonts w:hint="default" w:ascii="Arial" w:hAnsi="Arial" w:cs="Arial"/>
          <w:sz w:val="18"/>
          <w:szCs w:val="18"/>
        </w:rPr>
        <w:t>A verificação no Sicaf ou a exigência dos documentos nele não contidos somente será feita em relação ao licitante vencedor.</w:t>
      </w:r>
    </w:p>
    <w:p w14:paraId="087258D4">
      <w:pPr>
        <w:pStyle w:val="304"/>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8.15 </w:t>
      </w:r>
      <w:r>
        <w:rPr>
          <w:rFonts w:hint="default" w:ascii="Arial" w:hAnsi="Arial" w:cs="Arial"/>
          <w:sz w:val="18"/>
          <w:szCs w:val="18"/>
        </w:rPr>
        <w:t>Os documentos relativos à regularidade fiscal que constem do Termo de Referência somente serão exigidos, em qualquer caso, em momento posterior ao julgamento das propostas, e apenas do licitante mais bem classificado.</w:t>
      </w:r>
    </w:p>
    <w:p w14:paraId="48EEF734">
      <w:pPr>
        <w:pStyle w:val="304"/>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8.16 </w:t>
      </w:r>
      <w:r>
        <w:rPr>
          <w:rFonts w:hint="default" w:ascii="Arial" w:hAnsi="Arial" w:cs="Arial"/>
          <w:sz w:val="18"/>
          <w:szCs w:val="18"/>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56EC58">
      <w:pPr>
        <w:pStyle w:val="303"/>
        <w:numPr>
          <w:ilvl w:val="0"/>
          <w:numId w:val="0"/>
        </w:numPr>
        <w:tabs>
          <w:tab w:val="left" w:pos="993"/>
        </w:tabs>
        <w:spacing w:before="0" w:after="0" w:line="360" w:lineRule="auto"/>
        <w:ind w:leftChars="0"/>
        <w:rPr>
          <w:rFonts w:hint="default" w:ascii="Arial" w:hAnsi="Arial" w:cs="Arial"/>
          <w:b/>
          <w:bCs/>
          <w:i/>
          <w:sz w:val="18"/>
          <w:szCs w:val="18"/>
        </w:rPr>
      </w:pPr>
      <w:r>
        <w:rPr>
          <w:rFonts w:hint="default" w:ascii="Arial" w:hAnsi="Arial" w:cs="Arial"/>
          <w:b/>
          <w:bCs/>
          <w:sz w:val="18"/>
          <w:szCs w:val="18"/>
          <w:lang w:val="pt-BR"/>
        </w:rPr>
        <w:t xml:space="preserve">8.17 </w:t>
      </w:r>
      <w:r>
        <w:rPr>
          <w:rFonts w:hint="default" w:ascii="Arial" w:hAnsi="Arial" w:cs="Arial"/>
          <w:b/>
          <w:bCs/>
          <w:sz w:val="18"/>
          <w:szCs w:val="18"/>
        </w:rPr>
        <w:t>Após a entrega dos documentos para habilitação, não será permitida a substituição ou a apresentação de novos documentos, salvo em sede de diligência, para (</w:t>
      </w:r>
      <w:r>
        <w:rPr>
          <w:rFonts w:hint="default" w:ascii="Arial" w:hAnsi="Arial" w:cs="Arial"/>
          <w:b/>
          <w:bCs/>
          <w:sz w:val="18"/>
          <w:szCs w:val="18"/>
        </w:rPr>
        <w:fldChar w:fldCharType="begin"/>
      </w:r>
      <w:r>
        <w:rPr>
          <w:rFonts w:hint="default" w:ascii="Arial" w:hAnsi="Arial" w:cs="Arial"/>
          <w:b/>
          <w:bCs/>
          <w:sz w:val="18"/>
          <w:szCs w:val="18"/>
        </w:rPr>
        <w:instrText xml:space="preserve"> HYPERLINK "file:///C:\\Users\\User\\Downloads\\Pregao_Eletronico_91_2023_Edital_91_2023.DOC" \l "art64" </w:instrText>
      </w:r>
      <w:r>
        <w:rPr>
          <w:rFonts w:hint="default" w:ascii="Arial" w:hAnsi="Arial" w:cs="Arial"/>
          <w:b/>
          <w:bCs/>
          <w:sz w:val="18"/>
          <w:szCs w:val="18"/>
        </w:rPr>
        <w:fldChar w:fldCharType="separate"/>
      </w:r>
      <w:r>
        <w:rPr>
          <w:rStyle w:val="324"/>
          <w:rFonts w:hint="default" w:ascii="Arial" w:hAnsi="Arial" w:cs="Arial"/>
          <w:b/>
          <w:bCs/>
          <w:sz w:val="18"/>
          <w:szCs w:val="18"/>
        </w:rPr>
        <w:t>Lei 14.133/21, art. 64</w:t>
      </w:r>
      <w:r>
        <w:rPr>
          <w:rStyle w:val="324"/>
          <w:rFonts w:hint="default" w:ascii="Arial" w:hAnsi="Arial" w:cs="Arial"/>
          <w:b/>
          <w:bCs/>
          <w:sz w:val="18"/>
          <w:szCs w:val="18"/>
        </w:rPr>
        <w:fldChar w:fldCharType="end"/>
      </w:r>
      <w:r>
        <w:rPr>
          <w:rFonts w:hint="default" w:ascii="Arial" w:hAnsi="Arial" w:cs="Arial"/>
          <w:b/>
          <w:bCs/>
          <w:sz w:val="18"/>
          <w:szCs w:val="18"/>
        </w:rPr>
        <w:t xml:space="preserve">, e </w:t>
      </w:r>
      <w:r>
        <w:rPr>
          <w:rFonts w:hint="default" w:ascii="Arial" w:hAnsi="Arial" w:cs="Arial"/>
          <w:b/>
          <w:bCs/>
          <w:sz w:val="18"/>
          <w:szCs w:val="18"/>
        </w:rPr>
        <w:fldChar w:fldCharType="begin"/>
      </w:r>
      <w:r>
        <w:rPr>
          <w:rFonts w:hint="default" w:ascii="Arial" w:hAnsi="Arial" w:cs="Arial"/>
          <w:b/>
          <w:bCs/>
          <w:sz w:val="18"/>
          <w:szCs w:val="18"/>
        </w:rPr>
        <w:instrText xml:space="preserve"> HYPERLINK "https://www.gov.br/compras/pt-br/acesso-a-informacao/legislacao/instrucoes-normativas/instrucao-normativa-seges-me-no-73-de-30-de-setembro-de-2022" </w:instrText>
      </w:r>
      <w:r>
        <w:rPr>
          <w:rFonts w:hint="default" w:ascii="Arial" w:hAnsi="Arial" w:cs="Arial"/>
          <w:b/>
          <w:bCs/>
          <w:sz w:val="18"/>
          <w:szCs w:val="18"/>
        </w:rPr>
        <w:fldChar w:fldCharType="separate"/>
      </w:r>
      <w:r>
        <w:rPr>
          <w:rStyle w:val="324"/>
          <w:rFonts w:hint="default" w:ascii="Arial" w:hAnsi="Arial" w:cs="Arial"/>
          <w:b/>
          <w:bCs/>
          <w:sz w:val="18"/>
          <w:szCs w:val="18"/>
        </w:rPr>
        <w:t>IN 73/2022, art. 39, §4º</w:t>
      </w:r>
      <w:r>
        <w:rPr>
          <w:rStyle w:val="324"/>
          <w:rFonts w:hint="default" w:ascii="Arial" w:hAnsi="Arial" w:cs="Arial"/>
          <w:b/>
          <w:bCs/>
          <w:sz w:val="18"/>
          <w:szCs w:val="18"/>
        </w:rPr>
        <w:fldChar w:fldCharType="end"/>
      </w:r>
      <w:r>
        <w:rPr>
          <w:rFonts w:hint="default" w:ascii="Arial" w:hAnsi="Arial" w:cs="Arial"/>
          <w:b/>
          <w:bCs/>
          <w:sz w:val="18"/>
          <w:szCs w:val="18"/>
        </w:rPr>
        <w:t>):</w:t>
      </w:r>
    </w:p>
    <w:p w14:paraId="35207439">
      <w:pPr>
        <w:pStyle w:val="304"/>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8.17.1 </w:t>
      </w:r>
      <w:r>
        <w:rPr>
          <w:rFonts w:hint="default" w:ascii="Arial" w:hAnsi="Arial" w:cs="Arial"/>
          <w:b/>
          <w:bCs/>
          <w:sz w:val="18"/>
          <w:szCs w:val="18"/>
        </w:rPr>
        <w:t>complementação de informações acerca dos documentos já apresentados pelos licitantes e desde que necessária para apurar fatos existentes à época da abertura do certame; e</w:t>
      </w:r>
    </w:p>
    <w:p w14:paraId="45A84BC9">
      <w:pPr>
        <w:pStyle w:val="304"/>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8.17.2 </w:t>
      </w:r>
      <w:r>
        <w:rPr>
          <w:rFonts w:hint="default" w:ascii="Arial" w:hAnsi="Arial" w:cs="Arial"/>
          <w:b/>
          <w:bCs/>
          <w:sz w:val="18"/>
          <w:szCs w:val="18"/>
        </w:rPr>
        <w:t>atualização de documentos cuja validade tenha expirado após a data de recebimento das propostas;</w:t>
      </w:r>
    </w:p>
    <w:p w14:paraId="35D05CF2">
      <w:pPr>
        <w:pStyle w:val="303"/>
        <w:numPr>
          <w:ilvl w:val="0"/>
          <w:numId w:val="0"/>
        </w:numPr>
        <w:tabs>
          <w:tab w:val="left" w:pos="993"/>
        </w:tabs>
        <w:spacing w:before="0" w:after="0" w:line="360" w:lineRule="auto"/>
        <w:ind w:leftChars="0"/>
        <w:rPr>
          <w:rFonts w:hint="default" w:ascii="Arial" w:hAnsi="Arial" w:cs="Arial"/>
          <w:i/>
          <w:sz w:val="18"/>
          <w:szCs w:val="18"/>
        </w:rPr>
      </w:pPr>
      <w:bookmarkStart w:id="22" w:name="_Ref114670319"/>
      <w:bookmarkEnd w:id="22"/>
      <w:r>
        <w:rPr>
          <w:rFonts w:hint="default" w:ascii="Arial" w:hAnsi="Arial" w:cs="Arial"/>
          <w:sz w:val="18"/>
          <w:szCs w:val="18"/>
          <w:lang w:val="pt-BR"/>
        </w:rPr>
        <w:t xml:space="preserve">8.18 </w:t>
      </w:r>
      <w:r>
        <w:rPr>
          <w:rFonts w:hint="default" w:ascii="Arial" w:hAnsi="Arial" w:cs="Arial"/>
          <w:sz w:val="18"/>
          <w:szCs w:val="18"/>
        </w:rPr>
        <w:t>Na análise dos documentos de habilitação, o agente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153B8922">
      <w:pPr>
        <w:pStyle w:val="303"/>
        <w:numPr>
          <w:ilvl w:val="0"/>
          <w:numId w:val="0"/>
        </w:numPr>
        <w:tabs>
          <w:tab w:val="left" w:pos="993"/>
        </w:tabs>
        <w:spacing w:before="0" w:after="0" w:line="360" w:lineRule="auto"/>
        <w:ind w:leftChars="0"/>
        <w:rPr>
          <w:rFonts w:hint="default" w:ascii="Arial" w:hAnsi="Arial" w:cs="Arial"/>
          <w:i/>
          <w:iCs/>
          <w:sz w:val="18"/>
          <w:szCs w:val="18"/>
        </w:rPr>
      </w:pPr>
      <w:bookmarkStart w:id="23" w:name="_Ref114665528"/>
      <w:bookmarkEnd w:id="23"/>
      <w:r>
        <w:rPr>
          <w:rFonts w:hint="default" w:ascii="Arial" w:hAnsi="Arial" w:cs="Arial"/>
          <w:sz w:val="18"/>
          <w:szCs w:val="18"/>
          <w:lang w:val="pt-BR"/>
        </w:rPr>
        <w:t xml:space="preserve">8.19 </w:t>
      </w:r>
      <w:r>
        <w:rPr>
          <w:rFonts w:hint="default" w:ascii="Arial" w:hAnsi="Arial" w:cs="Arial"/>
          <w:sz w:val="18"/>
          <w:szCs w:val="18"/>
        </w:rPr>
        <w:t>Na hipótese de o licitante não atender às exigências para habilitação, o Agente de Contratação examinará a proposta subsequente e assim sucessivamente, na ordem de classificação, até a apuração de uma proposta que atenda ao presente edital, observado o prazo determinado.</w:t>
      </w:r>
    </w:p>
    <w:p w14:paraId="3D9188D2">
      <w:pPr>
        <w:pStyle w:val="303"/>
        <w:numPr>
          <w:ilvl w:val="0"/>
          <w:numId w:val="0"/>
        </w:numPr>
        <w:tabs>
          <w:tab w:val="left" w:pos="993"/>
        </w:tabs>
        <w:spacing w:before="0" w:after="0" w:line="360" w:lineRule="auto"/>
        <w:ind w:leftChars="0"/>
        <w:rPr>
          <w:rFonts w:hint="default" w:ascii="Arial" w:hAnsi="Arial" w:cs="Arial"/>
          <w:i/>
          <w:sz w:val="18"/>
          <w:szCs w:val="18"/>
        </w:rPr>
      </w:pPr>
      <w:bookmarkStart w:id="24" w:name="_Ref114665515"/>
      <w:bookmarkEnd w:id="24"/>
      <w:r>
        <w:rPr>
          <w:rFonts w:hint="default" w:ascii="Arial" w:hAnsi="Arial" w:cs="Arial"/>
          <w:sz w:val="18"/>
          <w:szCs w:val="18"/>
          <w:lang w:val="pt-BR"/>
        </w:rPr>
        <w:t xml:space="preserve">8.20 </w:t>
      </w:r>
      <w:r>
        <w:rPr>
          <w:rFonts w:hint="default" w:ascii="Arial" w:hAnsi="Arial" w:cs="Arial"/>
          <w:sz w:val="18"/>
          <w:szCs w:val="18"/>
        </w:rPr>
        <w:t>Somente serão disponibilizados para acesso público os documentos de habilitação do licitante cuja proposta atenda ao edital de licitação, após concluídos os procedimentos de que trata o subitem anterior.</w:t>
      </w:r>
    </w:p>
    <w:p w14:paraId="184CBC6B">
      <w:pPr>
        <w:pStyle w:val="303"/>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8.21 </w:t>
      </w:r>
      <w:r>
        <w:rPr>
          <w:rFonts w:hint="default" w:ascii="Arial" w:hAnsi="Arial" w:cs="Arial"/>
          <w:sz w:val="18"/>
          <w:szCs w:val="18"/>
        </w:rPr>
        <w:t>A comprovação de regularidade fiscal e trabalhista das microempresas e das empresas de pequeno porte somente será exigida para efeito de contratação, e não como condição para participação na licitação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4"/>
          <w:rFonts w:hint="default" w:ascii="Arial" w:hAnsi="Arial" w:cs="Arial"/>
          <w:sz w:val="18"/>
          <w:szCs w:val="18"/>
        </w:rPr>
        <w:t>art. 4º do Decreto nº 8.538/2015</w:t>
      </w:r>
      <w:r>
        <w:rPr>
          <w:rStyle w:val="324"/>
          <w:rFonts w:hint="default" w:ascii="Arial" w:hAnsi="Arial" w:cs="Arial"/>
          <w:sz w:val="18"/>
          <w:szCs w:val="18"/>
        </w:rPr>
        <w:fldChar w:fldCharType="end"/>
      </w:r>
      <w:r>
        <w:rPr>
          <w:rFonts w:hint="default" w:ascii="Arial" w:hAnsi="Arial" w:cs="Arial"/>
          <w:sz w:val="18"/>
          <w:szCs w:val="18"/>
        </w:rPr>
        <w:t>).</w:t>
      </w:r>
    </w:p>
    <w:p w14:paraId="00C6C890">
      <w:pPr>
        <w:pStyle w:val="303"/>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8.22 </w:t>
      </w:r>
      <w:r>
        <w:rPr>
          <w:rFonts w:hint="default" w:ascii="Arial" w:hAnsi="Arial" w:cs="Arial"/>
          <w:sz w:val="18"/>
          <w:szCs w:val="18"/>
        </w:rPr>
        <w:t>Quando a fase de habilitação anteceder a de julgamento e já tiver sido encerrada, não caberá exclusão de licitante por motivo relacionado à habilitação, salvo em razão de fatos supervenientes ou só conhecidos após o julgamento.</w:t>
      </w:r>
    </w:p>
    <w:p w14:paraId="3A5D345A">
      <w:pPr>
        <w:pStyle w:val="303"/>
        <w:numPr>
          <w:ilvl w:val="0"/>
          <w:numId w:val="0"/>
        </w:numPr>
        <w:tabs>
          <w:tab w:val="left" w:pos="993"/>
        </w:tabs>
        <w:spacing w:before="0" w:after="0" w:line="360" w:lineRule="auto"/>
        <w:ind w:leftChars="0"/>
        <w:rPr>
          <w:rFonts w:hint="default" w:ascii="Arial" w:hAnsi="Arial" w:cs="Arial"/>
          <w:sz w:val="18"/>
          <w:szCs w:val="18"/>
          <w:u w:val="single"/>
          <w:lang w:val="pt-BR"/>
        </w:rPr>
      </w:pPr>
      <w:r>
        <w:rPr>
          <w:rFonts w:hint="default" w:ascii="Arial" w:hAnsi="Arial" w:cs="Arial"/>
          <w:sz w:val="18"/>
          <w:szCs w:val="18"/>
          <w:u w:val="single"/>
          <w:lang w:val="pt-BR"/>
        </w:rPr>
        <w:t>8.23 Na hipótese de desclassificação de todas as propostas, o Pregoeiro poderá fixar às licitantes, respeitando a ordem de classificação, o prazo de 8 (oito) dias úteis para apresentação de documentos exigidos, corrigido das causas de sua desclassificação.</w:t>
      </w:r>
    </w:p>
    <w:p w14:paraId="002FEF98">
      <w:pPr>
        <w:pStyle w:val="303"/>
        <w:numPr>
          <w:ilvl w:val="0"/>
          <w:numId w:val="0"/>
        </w:numPr>
        <w:tabs>
          <w:tab w:val="left" w:pos="993"/>
        </w:tabs>
        <w:spacing w:before="0" w:after="0" w:line="240" w:lineRule="auto"/>
        <w:ind w:leftChars="0"/>
        <w:rPr>
          <w:rFonts w:hint="default" w:ascii="Arial" w:hAnsi="Arial" w:cs="Arial"/>
          <w:iCs/>
          <w:sz w:val="18"/>
          <w:szCs w:val="18"/>
          <w:lang w:val="pt-BR"/>
        </w:rPr>
      </w:pPr>
    </w:p>
    <w:p w14:paraId="4AF084CE">
      <w:pPr>
        <w:pStyle w:val="278"/>
        <w:widowControl w:val="0"/>
        <w:numPr>
          <w:ilvl w:val="0"/>
          <w:numId w:val="12"/>
        </w:numPr>
        <w:tabs>
          <w:tab w:val="clear" w:pos="567"/>
        </w:tabs>
        <w:autoSpaceDN w:val="0"/>
        <w:spacing w:before="0" w:line="360" w:lineRule="auto"/>
        <w:ind w:left="426" w:hanging="426"/>
        <w:rPr>
          <w:rFonts w:hint="default" w:ascii="Arial" w:hAnsi="Arial" w:cs="Arial"/>
          <w:sz w:val="18"/>
          <w:szCs w:val="18"/>
        </w:rPr>
      </w:pPr>
      <w:bookmarkStart w:id="25" w:name="_Toc122606110"/>
      <w:bookmarkEnd w:id="25"/>
      <w:r>
        <w:rPr>
          <w:rFonts w:hint="default" w:ascii="Arial" w:hAnsi="Arial" w:cs="Arial"/>
          <w:sz w:val="18"/>
          <w:szCs w:val="18"/>
        </w:rPr>
        <w:t>DOS RECURSOS</w:t>
      </w:r>
    </w:p>
    <w:p w14:paraId="5067ECE4">
      <w:pPr>
        <w:pStyle w:val="303"/>
        <w:spacing w:before="0" w:after="0" w:line="360" w:lineRule="auto"/>
        <w:rPr>
          <w:rFonts w:hint="default" w:ascii="Arial" w:hAnsi="Arial" w:cs="Arial"/>
          <w:sz w:val="18"/>
          <w:szCs w:val="18"/>
        </w:rPr>
      </w:pPr>
      <w:r>
        <w:rPr>
          <w:rFonts w:hint="default" w:ascii="Arial" w:hAnsi="Arial" w:cs="Arial"/>
          <w:sz w:val="18"/>
          <w:szCs w:val="18"/>
        </w:rPr>
        <w:t xml:space="preserve">9.1 A interposição de recurso referente ao julgamento das propostas, à habilitação ou inabilitação de licitantes, à anulação ou revogação da licitação, observará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"art165" </w:instrText>
      </w:r>
      <w:r>
        <w:rPr>
          <w:rFonts w:hint="default" w:ascii="Arial" w:hAnsi="Arial" w:cs="Arial"/>
          <w:sz w:val="18"/>
          <w:szCs w:val="18"/>
        </w:rPr>
        <w:fldChar w:fldCharType="separate"/>
      </w:r>
      <w:r>
        <w:rPr>
          <w:rStyle w:val="324"/>
          <w:rFonts w:hint="default" w:ascii="Arial" w:hAnsi="Arial" w:cs="Arial"/>
          <w:sz w:val="18"/>
          <w:szCs w:val="18"/>
        </w:rPr>
        <w:t>art. 165 da Lei nº 14.133, de 2021</w:t>
      </w:r>
      <w:r>
        <w:rPr>
          <w:rStyle w:val="324"/>
          <w:rFonts w:hint="default" w:ascii="Arial" w:hAnsi="Arial" w:cs="Arial"/>
          <w:sz w:val="18"/>
          <w:szCs w:val="18"/>
        </w:rPr>
        <w:fldChar w:fldCharType="end"/>
      </w:r>
      <w:r>
        <w:rPr>
          <w:rFonts w:hint="default" w:ascii="Arial" w:hAnsi="Arial" w:cs="Arial"/>
          <w:sz w:val="18"/>
          <w:szCs w:val="18"/>
        </w:rPr>
        <w:t>.</w:t>
      </w:r>
    </w:p>
    <w:p w14:paraId="4070C5EE">
      <w:pPr>
        <w:pStyle w:val="303"/>
        <w:spacing w:before="0" w:after="0" w:line="360" w:lineRule="auto"/>
        <w:rPr>
          <w:rFonts w:hint="default" w:ascii="Arial" w:hAnsi="Arial" w:cs="Arial"/>
          <w:sz w:val="18"/>
          <w:szCs w:val="18"/>
        </w:rPr>
      </w:pPr>
      <w:r>
        <w:rPr>
          <w:rFonts w:hint="default" w:ascii="Arial" w:hAnsi="Arial" w:cs="Arial"/>
          <w:sz w:val="18"/>
          <w:szCs w:val="18"/>
        </w:rPr>
        <w:t>9.2 O prazo recursal é de 3 (três) dias úteis, contados da data de intimação ou de lavratura da ata.</w:t>
      </w:r>
    </w:p>
    <w:p w14:paraId="123C0DDF">
      <w:pPr>
        <w:pStyle w:val="303"/>
        <w:spacing w:before="0" w:after="0" w:line="360" w:lineRule="auto"/>
        <w:rPr>
          <w:rFonts w:hint="default" w:ascii="Arial" w:hAnsi="Arial" w:cs="Arial"/>
          <w:sz w:val="18"/>
          <w:szCs w:val="18"/>
        </w:rPr>
      </w:pPr>
      <w:r>
        <w:rPr>
          <w:rFonts w:hint="default" w:ascii="Arial" w:hAnsi="Arial" w:cs="Arial"/>
          <w:sz w:val="18"/>
          <w:szCs w:val="18"/>
        </w:rPr>
        <w:t>9.3 Quando o recurso apresentado impugnar o julgamento das propostas ou o ato de habilitação ou inabilitação do licitante:</w:t>
      </w:r>
    </w:p>
    <w:p w14:paraId="6D618EC6">
      <w:pPr>
        <w:pStyle w:val="304"/>
        <w:numPr>
          <w:ilvl w:val="2"/>
          <w:numId w:val="13"/>
        </w:numPr>
        <w:spacing w:before="0" w:after="0" w:line="360" w:lineRule="auto"/>
        <w:ind w:left="0" w:firstLine="0"/>
        <w:rPr>
          <w:rFonts w:hint="default" w:ascii="Arial" w:hAnsi="Arial" w:cs="Arial"/>
          <w:sz w:val="18"/>
          <w:szCs w:val="18"/>
        </w:rPr>
      </w:pPr>
      <w:r>
        <w:rPr>
          <w:rFonts w:hint="default" w:ascii="Arial" w:hAnsi="Arial" w:cs="Arial"/>
          <w:sz w:val="18"/>
          <w:szCs w:val="18"/>
          <w:lang w:val="pt-BR"/>
        </w:rPr>
        <w:t>A</w:t>
      </w:r>
      <w:r>
        <w:rPr>
          <w:rFonts w:hint="default" w:ascii="Arial" w:hAnsi="Arial" w:cs="Arial"/>
          <w:sz w:val="18"/>
          <w:szCs w:val="18"/>
        </w:rPr>
        <w:t xml:space="preserve"> intenção de recorrer deverá ser manifestada imediatamente, sob pena de preclusão;</w:t>
      </w:r>
    </w:p>
    <w:p w14:paraId="20536ADE">
      <w:pPr>
        <w:pStyle w:val="304"/>
        <w:numPr>
          <w:ilvl w:val="3"/>
          <w:numId w:val="14"/>
        </w:numPr>
        <w:tabs>
          <w:tab w:val="left" w:pos="426"/>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licitante poderá, ao final da sessão e no prazo de até </w:t>
      </w:r>
      <w:r>
        <w:rPr>
          <w:rFonts w:hint="default" w:ascii="Arial" w:hAnsi="Arial" w:cs="Arial"/>
          <w:sz w:val="18"/>
          <w:szCs w:val="18"/>
          <w:lang w:val="pt-BR"/>
        </w:rPr>
        <w:t>10 (dez</w:t>
      </w:r>
      <w:r>
        <w:rPr>
          <w:rFonts w:hint="default" w:ascii="Arial" w:hAnsi="Arial" w:cs="Arial"/>
          <w:sz w:val="18"/>
          <w:szCs w:val="18"/>
        </w:rPr>
        <w:t>) minutos, recorrer das decisões tomadas durante a sessão da licitação;</w:t>
      </w:r>
    </w:p>
    <w:p w14:paraId="58E00745">
      <w:pPr>
        <w:numPr>
          <w:ilvl w:val="3"/>
          <w:numId w:val="14"/>
        </w:numPr>
        <w:tabs>
          <w:tab w:val="left" w:pos="426"/>
        </w:tabs>
        <w:spacing w:line="360" w:lineRule="auto"/>
        <w:ind w:left="0" w:firstLine="0"/>
        <w:jc w:val="both"/>
        <w:rPr>
          <w:rFonts w:hint="default" w:ascii="Arial" w:hAnsi="Arial" w:cs="Arial"/>
          <w:sz w:val="18"/>
          <w:szCs w:val="18"/>
        </w:rPr>
      </w:pPr>
      <w:r>
        <w:rPr>
          <w:rFonts w:hint="default" w:ascii="Arial" w:hAnsi="Arial" w:cs="Arial"/>
          <w:sz w:val="18"/>
          <w:szCs w:val="18"/>
        </w:rPr>
        <w:t xml:space="preserve">o agente de contratação examinará a aceitabilidade do recurso na sessão, podendo: </w:t>
      </w:r>
    </w:p>
    <w:p w14:paraId="28084BEC">
      <w:pPr>
        <w:tabs>
          <w:tab w:val="left" w:pos="426"/>
        </w:tabs>
        <w:spacing w:line="360" w:lineRule="auto"/>
        <w:jc w:val="both"/>
        <w:rPr>
          <w:rFonts w:hint="default" w:ascii="Arial" w:hAnsi="Arial" w:cs="Arial"/>
          <w:sz w:val="18"/>
          <w:szCs w:val="18"/>
        </w:rPr>
      </w:pPr>
      <w:r>
        <w:rPr>
          <w:rFonts w:hint="default" w:ascii="Arial" w:hAnsi="Arial" w:cs="Arial"/>
          <w:sz w:val="18"/>
          <w:szCs w:val="18"/>
        </w:rPr>
        <w:t>a) recusá-lo, se:</w:t>
      </w:r>
    </w:p>
    <w:p w14:paraId="3DF51E85">
      <w:pPr>
        <w:spacing w:line="360" w:lineRule="auto"/>
        <w:jc w:val="both"/>
        <w:rPr>
          <w:rFonts w:hint="default" w:ascii="Arial" w:hAnsi="Arial" w:cs="Arial"/>
          <w:sz w:val="18"/>
          <w:szCs w:val="18"/>
        </w:rPr>
      </w:pPr>
      <w:r>
        <w:rPr>
          <w:rFonts w:hint="default" w:ascii="Arial" w:hAnsi="Arial" w:cs="Arial"/>
          <w:sz w:val="18"/>
          <w:szCs w:val="18"/>
        </w:rPr>
        <w:t xml:space="preserve">1. </w:t>
      </w:r>
      <w:r>
        <w:rPr>
          <w:rFonts w:hint="default" w:ascii="Arial" w:hAnsi="Arial" w:cs="Arial"/>
          <w:sz w:val="18"/>
          <w:szCs w:val="18"/>
          <w:lang w:val="pt-BR"/>
        </w:rPr>
        <w:t>R</w:t>
      </w:r>
      <w:r>
        <w:rPr>
          <w:rFonts w:hint="default" w:ascii="Arial" w:hAnsi="Arial" w:cs="Arial"/>
          <w:sz w:val="18"/>
          <w:szCs w:val="18"/>
        </w:rPr>
        <w:t xml:space="preserve">elativo a decisões e atos anteriores à sessão; </w:t>
      </w:r>
    </w:p>
    <w:p w14:paraId="39446F91">
      <w:pPr>
        <w:spacing w:line="360" w:lineRule="auto"/>
        <w:jc w:val="both"/>
        <w:rPr>
          <w:rFonts w:hint="default" w:ascii="Arial" w:hAnsi="Arial" w:cs="Arial"/>
          <w:sz w:val="18"/>
          <w:szCs w:val="18"/>
        </w:rPr>
      </w:pPr>
      <w:r>
        <w:rPr>
          <w:rFonts w:hint="default" w:ascii="Arial" w:hAnsi="Arial" w:cs="Arial"/>
          <w:sz w:val="18"/>
          <w:szCs w:val="18"/>
        </w:rPr>
        <w:t xml:space="preserve">2. </w:t>
      </w:r>
      <w:r>
        <w:rPr>
          <w:rFonts w:hint="default" w:ascii="Arial" w:hAnsi="Arial" w:cs="Arial"/>
          <w:sz w:val="18"/>
          <w:szCs w:val="18"/>
          <w:lang w:val="pt-BR"/>
        </w:rPr>
        <w:t>A</w:t>
      </w:r>
      <w:r>
        <w:rPr>
          <w:rFonts w:hint="default" w:ascii="Arial" w:hAnsi="Arial" w:cs="Arial"/>
          <w:sz w:val="18"/>
          <w:szCs w:val="18"/>
        </w:rPr>
        <w:t>usentes os requisitos de admissibilidade do recurso, quais sejam: sucumbência, tempestividade, legitimidade, interesse e motivação.</w:t>
      </w:r>
    </w:p>
    <w:p w14:paraId="01AEB360">
      <w:pPr>
        <w:spacing w:line="360" w:lineRule="auto"/>
        <w:jc w:val="both"/>
        <w:rPr>
          <w:rFonts w:hint="default" w:ascii="Arial" w:hAnsi="Arial" w:cs="Arial"/>
          <w:sz w:val="18"/>
          <w:szCs w:val="18"/>
        </w:rPr>
      </w:pPr>
      <w:r>
        <w:rPr>
          <w:rFonts w:hint="default" w:ascii="Arial" w:hAnsi="Arial" w:cs="Arial"/>
          <w:sz w:val="18"/>
          <w:szCs w:val="18"/>
        </w:rPr>
        <w:t xml:space="preserve">b) </w:t>
      </w:r>
      <w:r>
        <w:rPr>
          <w:rFonts w:hint="default" w:ascii="Arial" w:hAnsi="Arial" w:cs="Arial"/>
          <w:sz w:val="18"/>
          <w:szCs w:val="18"/>
          <w:lang w:val="pt-BR"/>
        </w:rPr>
        <w:t>R</w:t>
      </w:r>
      <w:r>
        <w:rPr>
          <w:rFonts w:hint="default" w:ascii="Arial" w:hAnsi="Arial" w:cs="Arial"/>
          <w:sz w:val="18"/>
          <w:szCs w:val="18"/>
        </w:rPr>
        <w:t xml:space="preserve">ever a decisão questionada, praticando os atos necessários; </w:t>
      </w:r>
    </w:p>
    <w:p w14:paraId="153CF79C">
      <w:pPr>
        <w:spacing w:line="360" w:lineRule="auto"/>
        <w:jc w:val="both"/>
        <w:rPr>
          <w:rFonts w:hint="default" w:ascii="Arial" w:hAnsi="Arial" w:cs="Arial"/>
          <w:sz w:val="18"/>
          <w:szCs w:val="18"/>
        </w:rPr>
      </w:pPr>
      <w:r>
        <w:rPr>
          <w:rFonts w:hint="default" w:ascii="Arial" w:hAnsi="Arial" w:cs="Arial"/>
          <w:sz w:val="18"/>
          <w:szCs w:val="18"/>
        </w:rPr>
        <w:t xml:space="preserve">c) </w:t>
      </w:r>
      <w:r>
        <w:rPr>
          <w:rFonts w:hint="default" w:ascii="Arial" w:hAnsi="Arial" w:cs="Arial"/>
          <w:sz w:val="18"/>
          <w:szCs w:val="18"/>
          <w:lang w:val="pt-BR"/>
        </w:rPr>
        <w:t>R</w:t>
      </w:r>
      <w:r>
        <w:rPr>
          <w:rFonts w:hint="default" w:ascii="Arial" w:hAnsi="Arial" w:cs="Arial"/>
          <w:sz w:val="18"/>
          <w:szCs w:val="18"/>
        </w:rPr>
        <w:t>eceber o recurso, encaminhando-o para decisão após o fim do prazo para apresentação das razões e contrarrazões recursais.</w:t>
      </w:r>
    </w:p>
    <w:p w14:paraId="756C9AF9">
      <w:pPr>
        <w:pStyle w:val="304"/>
        <w:numPr>
          <w:ilvl w:val="2"/>
          <w:numId w:val="13"/>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prazo para apresentação das razões recursais será iniciado na data de intimação ou de lavratura da ata de habilitação ou inabilitação;</w:t>
      </w:r>
    </w:p>
    <w:p w14:paraId="4A285779">
      <w:pPr>
        <w:pStyle w:val="304"/>
        <w:numPr>
          <w:ilvl w:val="2"/>
          <w:numId w:val="13"/>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N</w:t>
      </w:r>
      <w:r>
        <w:rPr>
          <w:rFonts w:hint="default" w:ascii="Arial" w:hAnsi="Arial" w:cs="Arial"/>
          <w:sz w:val="18"/>
          <w:szCs w:val="18"/>
        </w:rPr>
        <w:t xml:space="preserve">a hipótese de adoção da inversão de fases prevista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"art17§1" </w:instrText>
      </w:r>
      <w:r>
        <w:rPr>
          <w:rFonts w:hint="default" w:ascii="Arial" w:hAnsi="Arial" w:cs="Arial"/>
          <w:sz w:val="18"/>
          <w:szCs w:val="18"/>
        </w:rPr>
        <w:fldChar w:fldCharType="separate"/>
      </w:r>
      <w:r>
        <w:rPr>
          <w:rStyle w:val="324"/>
          <w:rFonts w:hint="default" w:ascii="Arial" w:hAnsi="Arial" w:cs="Arial"/>
          <w:sz w:val="18"/>
          <w:szCs w:val="18"/>
        </w:rPr>
        <w:t>§ 1º do art. 17 da Lei nº 14.133, de 2021</w:t>
      </w:r>
      <w:r>
        <w:rPr>
          <w:rStyle w:val="324"/>
          <w:rFonts w:hint="default" w:ascii="Arial" w:hAnsi="Arial" w:cs="Arial"/>
          <w:sz w:val="18"/>
          <w:szCs w:val="18"/>
        </w:rPr>
        <w:fldChar w:fldCharType="end"/>
      </w:r>
      <w:r>
        <w:rPr>
          <w:rFonts w:hint="default" w:ascii="Arial" w:hAnsi="Arial" w:cs="Arial"/>
          <w:sz w:val="18"/>
          <w:szCs w:val="18"/>
        </w:rPr>
        <w:t>, o prazo para apresentação das razões recursais será iniciado na data de intimação da ata de julgamento.</w:t>
      </w:r>
    </w:p>
    <w:p w14:paraId="50C994E5">
      <w:pPr>
        <w:pStyle w:val="303"/>
        <w:numPr>
          <w:ilvl w:val="1"/>
          <w:numId w:val="13"/>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recursos deverão ser encaminhados em campo próprio do sistema.</w:t>
      </w:r>
    </w:p>
    <w:p w14:paraId="0CEDA506">
      <w:pPr>
        <w:pStyle w:val="303"/>
        <w:numPr>
          <w:ilvl w:val="1"/>
          <w:numId w:val="13"/>
        </w:numPr>
        <w:spacing w:before="0" w:after="0" w:line="360" w:lineRule="auto"/>
        <w:ind w:left="0" w:firstLine="0"/>
        <w:rPr>
          <w:rFonts w:hint="default" w:ascii="Arial" w:hAnsi="Arial" w:cs="Arial"/>
          <w:sz w:val="18"/>
          <w:szCs w:val="18"/>
        </w:rPr>
      </w:pPr>
      <w:r>
        <w:rPr>
          <w:rFonts w:hint="default" w:ascii="Arial" w:hAnsi="Arial" w:cs="Arial"/>
          <w:sz w:val="18"/>
          <w:szCs w:val="18"/>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2D52EB">
      <w:pPr>
        <w:pStyle w:val="303"/>
        <w:numPr>
          <w:ilvl w:val="1"/>
          <w:numId w:val="13"/>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recursos interpostos fora do prazo não serão conhecidos. </w:t>
      </w:r>
    </w:p>
    <w:p w14:paraId="6F618141">
      <w:pPr>
        <w:pStyle w:val="303"/>
        <w:numPr>
          <w:ilvl w:val="1"/>
          <w:numId w:val="13"/>
        </w:numPr>
        <w:spacing w:before="0" w:after="0" w:line="360" w:lineRule="auto"/>
        <w:ind w:left="0" w:firstLine="0"/>
        <w:rPr>
          <w:rFonts w:hint="default" w:ascii="Arial" w:hAnsi="Arial" w:cs="Arial"/>
          <w:sz w:val="18"/>
          <w:szCs w:val="18"/>
        </w:rPr>
      </w:pPr>
      <w:r>
        <w:rPr>
          <w:rFonts w:hint="default" w:ascii="Arial" w:hAnsi="Arial" w:cs="Arial"/>
          <w:sz w:val="18"/>
          <w:szCs w:val="18"/>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C1D800C">
      <w:pPr>
        <w:pStyle w:val="303"/>
        <w:numPr>
          <w:ilvl w:val="1"/>
          <w:numId w:val="13"/>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recurso e o pedido de reconsideração terão efeito suspensivo do ato ou da decisão recorrida até que sobrevenha decisão final da autoridade competente. </w:t>
      </w:r>
    </w:p>
    <w:p w14:paraId="77E60B5C">
      <w:pPr>
        <w:pStyle w:val="303"/>
        <w:numPr>
          <w:ilvl w:val="1"/>
          <w:numId w:val="13"/>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acolhimento do recurso invalida tão somente os atos insuscetíveis de aproveitamento. </w:t>
      </w:r>
    </w:p>
    <w:p w14:paraId="121355DC">
      <w:pPr>
        <w:pStyle w:val="303"/>
        <w:numPr>
          <w:ilvl w:val="1"/>
          <w:numId w:val="13"/>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autos do processo permanecerão com vista franqueada aos interessados no sítio eletrônico </w:t>
      </w:r>
      <w:r>
        <w:rPr>
          <w:rFonts w:hint="default" w:ascii="Arial" w:hAnsi="Arial" w:cs="Arial"/>
          <w:sz w:val="18"/>
          <w:szCs w:val="18"/>
        </w:rPr>
        <w:fldChar w:fldCharType="begin"/>
      </w:r>
      <w:r>
        <w:rPr>
          <w:rFonts w:hint="default" w:ascii="Arial" w:hAnsi="Arial" w:cs="Arial"/>
          <w:sz w:val="18"/>
          <w:szCs w:val="18"/>
        </w:rPr>
        <w:instrText xml:space="preserve"> HYPERLINK "http://www.cataguases.mg.gov.br" </w:instrText>
      </w:r>
      <w:r>
        <w:rPr>
          <w:rFonts w:hint="default" w:ascii="Arial" w:hAnsi="Arial" w:cs="Arial"/>
          <w:sz w:val="18"/>
          <w:szCs w:val="18"/>
        </w:rPr>
        <w:fldChar w:fldCharType="separate"/>
      </w:r>
      <w:r>
        <w:rPr>
          <w:rStyle w:val="11"/>
          <w:rFonts w:hint="default" w:ascii="Arial" w:hAnsi="Arial" w:cs="Arial"/>
          <w:sz w:val="18"/>
          <w:szCs w:val="18"/>
        </w:rPr>
        <w:t>www.cataguases.mg.gov.br</w:t>
      </w:r>
      <w:r>
        <w:rPr>
          <w:rStyle w:val="11"/>
          <w:rFonts w:hint="default" w:ascii="Arial" w:hAnsi="Arial" w:cs="Arial"/>
          <w:sz w:val="18"/>
          <w:szCs w:val="18"/>
        </w:rPr>
        <w:fldChar w:fldCharType="end"/>
      </w:r>
      <w:r>
        <w:rPr>
          <w:rFonts w:hint="default" w:ascii="Arial" w:hAnsi="Arial" w:cs="Arial"/>
          <w:sz w:val="18"/>
          <w:szCs w:val="18"/>
        </w:rPr>
        <w:t>.</w:t>
      </w:r>
    </w:p>
    <w:p w14:paraId="7C84D15E">
      <w:pPr>
        <w:pStyle w:val="303"/>
        <w:tabs>
          <w:tab w:val="left" w:pos="993"/>
        </w:tabs>
        <w:spacing w:before="0" w:after="0" w:line="360" w:lineRule="auto"/>
        <w:rPr>
          <w:rFonts w:hint="default" w:ascii="Arial" w:hAnsi="Arial" w:cs="Arial"/>
          <w:sz w:val="18"/>
          <w:szCs w:val="18"/>
        </w:rPr>
      </w:pPr>
    </w:p>
    <w:p w14:paraId="7E5DE3FF">
      <w:pPr>
        <w:pStyle w:val="278"/>
        <w:numPr>
          <w:ilvl w:val="0"/>
          <w:numId w:val="13"/>
        </w:numPr>
        <w:spacing w:before="0" w:line="360" w:lineRule="auto"/>
        <w:ind w:left="0" w:firstLine="0"/>
        <w:rPr>
          <w:rFonts w:hint="default" w:ascii="Arial" w:hAnsi="Arial" w:cs="Arial"/>
          <w:sz w:val="18"/>
          <w:szCs w:val="18"/>
        </w:rPr>
      </w:pPr>
      <w:r>
        <w:rPr>
          <w:rFonts w:hint="default" w:ascii="Arial" w:hAnsi="Arial" w:cs="Arial"/>
          <w:sz w:val="18"/>
          <w:szCs w:val="18"/>
        </w:rPr>
        <w:t>DA ADJUDICAÇÃO E HOMOLOGAÇÃO</w:t>
      </w:r>
    </w:p>
    <w:p w14:paraId="7D3C626F">
      <w:pPr>
        <w:pStyle w:val="278"/>
        <w:numPr>
          <w:ilvl w:val="1"/>
          <w:numId w:val="15"/>
        </w:numPr>
        <w:spacing w:before="0" w:line="360" w:lineRule="auto"/>
        <w:ind w:left="0" w:firstLine="0"/>
        <w:rPr>
          <w:rFonts w:hint="default" w:ascii="Arial" w:hAnsi="Arial" w:cs="Arial"/>
          <w:sz w:val="18"/>
          <w:szCs w:val="18"/>
        </w:rPr>
      </w:pPr>
      <w:r>
        <w:rPr>
          <w:rFonts w:hint="default" w:ascii="Arial" w:hAnsi="Arial" w:cs="Arial"/>
          <w:b w:val="0"/>
          <w:sz w:val="18"/>
          <w:szCs w:val="18"/>
        </w:rPr>
        <w:t xml:space="preserve"> O objeto da licitação será adjudicado/homologado ao licitante declarado vencedor, pela Autoridade Competente.</w:t>
      </w:r>
    </w:p>
    <w:p w14:paraId="0D960963">
      <w:pPr>
        <w:tabs>
          <w:tab w:val="left" w:pos="567"/>
        </w:tabs>
        <w:rPr>
          <w:rFonts w:hint="default" w:ascii="Arial" w:hAnsi="Arial" w:cs="Arial"/>
          <w:sz w:val="18"/>
          <w:szCs w:val="18"/>
        </w:rPr>
      </w:pPr>
      <w:r>
        <w:rPr>
          <w:rFonts w:hint="default" w:ascii="Arial" w:hAnsi="Arial" w:cs="Arial"/>
          <w:sz w:val="18"/>
          <w:szCs w:val="18"/>
        </w:rPr>
        <w:t xml:space="preserve"> </w:t>
      </w:r>
    </w:p>
    <w:p w14:paraId="13915D17">
      <w:pPr>
        <w:tabs>
          <w:tab w:val="left" w:pos="567"/>
        </w:tabs>
        <w:autoSpaceDE w:val="0"/>
        <w:autoSpaceDN w:val="0"/>
        <w:adjustRightInd w:val="0"/>
        <w:spacing w:line="360" w:lineRule="auto"/>
        <w:rPr>
          <w:rFonts w:hint="default" w:ascii="Arial" w:hAnsi="Arial" w:cs="Arial"/>
          <w:b/>
          <w:bCs/>
          <w:sz w:val="18"/>
          <w:szCs w:val="18"/>
        </w:rPr>
      </w:pPr>
      <w:r>
        <w:rPr>
          <w:rFonts w:hint="default" w:ascii="Arial" w:hAnsi="Arial" w:cs="Arial"/>
          <w:b/>
          <w:sz w:val="18"/>
          <w:szCs w:val="18"/>
        </w:rPr>
        <w:t xml:space="preserve">11.   </w:t>
      </w:r>
      <w:r>
        <w:rPr>
          <w:rFonts w:hint="default" w:ascii="Arial" w:hAnsi="Arial" w:cs="Arial"/>
          <w:b/>
          <w:bCs/>
          <w:sz w:val="18"/>
          <w:szCs w:val="18"/>
        </w:rPr>
        <w:t>DA GARANTIA DE EXECUÇÃO</w:t>
      </w:r>
    </w:p>
    <w:p w14:paraId="4CA0D173">
      <w:pPr>
        <w:tabs>
          <w:tab w:val="left" w:pos="567"/>
        </w:tabs>
        <w:spacing w:line="360" w:lineRule="auto"/>
        <w:jc w:val="both"/>
        <w:rPr>
          <w:rFonts w:hint="default" w:ascii="Arial" w:hAnsi="Arial" w:cs="Arial"/>
          <w:sz w:val="18"/>
          <w:szCs w:val="18"/>
        </w:rPr>
      </w:pPr>
      <w:r>
        <w:rPr>
          <w:rFonts w:hint="default" w:ascii="Arial" w:hAnsi="Arial" w:cs="Arial"/>
          <w:sz w:val="18"/>
          <w:szCs w:val="18"/>
        </w:rPr>
        <w:t xml:space="preserve">11.1. </w:t>
      </w:r>
      <w:r>
        <w:rPr>
          <w:rFonts w:hint="default" w:ascii="Arial" w:hAnsi="Arial" w:cs="Arial"/>
          <w:sz w:val="18"/>
          <w:szCs w:val="18"/>
          <w:lang w:val="pt-BR"/>
        </w:rPr>
        <w:t>Conforme termo de referência</w:t>
      </w:r>
      <w:r>
        <w:rPr>
          <w:rFonts w:hint="default" w:ascii="Arial" w:hAnsi="Arial" w:cs="Arial"/>
          <w:sz w:val="18"/>
          <w:szCs w:val="18"/>
        </w:rPr>
        <w:t>;</w:t>
      </w:r>
    </w:p>
    <w:p w14:paraId="0A4DC172">
      <w:pPr>
        <w:tabs>
          <w:tab w:val="left" w:pos="567"/>
        </w:tabs>
        <w:jc w:val="both"/>
        <w:rPr>
          <w:rFonts w:hint="default" w:ascii="Arial" w:hAnsi="Arial" w:cs="Arial"/>
          <w:sz w:val="18"/>
          <w:szCs w:val="18"/>
        </w:rPr>
      </w:pPr>
    </w:p>
    <w:p w14:paraId="6CCD9262">
      <w:pPr>
        <w:pStyle w:val="220"/>
        <w:numPr>
          <w:ilvl w:val="0"/>
          <w:numId w:val="16"/>
        </w:numPr>
        <w:tabs>
          <w:tab w:val="left" w:pos="567"/>
        </w:tabs>
        <w:spacing w:line="360" w:lineRule="auto"/>
        <w:ind w:left="0" w:firstLine="0"/>
        <w:rPr>
          <w:rFonts w:hint="default" w:ascii="Arial" w:hAnsi="Arial" w:cs="Arial"/>
          <w:b/>
          <w:sz w:val="18"/>
          <w:szCs w:val="18"/>
        </w:rPr>
      </w:pPr>
      <w:r>
        <w:rPr>
          <w:rFonts w:hint="default" w:ascii="Arial" w:hAnsi="Arial" w:cs="Arial"/>
          <w:b/>
          <w:sz w:val="18"/>
          <w:szCs w:val="18"/>
        </w:rPr>
        <w:t>DA ATA DE REGISTRO DE PREÇOS</w:t>
      </w:r>
    </w:p>
    <w:p w14:paraId="0692BC77">
      <w:pPr>
        <w:pStyle w:val="220"/>
        <w:numPr>
          <w:ilvl w:val="1"/>
          <w:numId w:val="16"/>
        </w:numPr>
        <w:tabs>
          <w:tab w:val="left" w:pos="0"/>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47D69FFF">
      <w:pPr>
        <w:pStyle w:val="220"/>
        <w:numPr>
          <w:ilvl w:val="1"/>
          <w:numId w:val="16"/>
        </w:numPr>
        <w:tabs>
          <w:tab w:val="left" w:pos="0"/>
        </w:tabs>
        <w:spacing w:line="360" w:lineRule="auto"/>
        <w:ind w:left="0" w:firstLine="0"/>
        <w:jc w:val="both"/>
        <w:rPr>
          <w:rFonts w:hint="default" w:ascii="Arial" w:hAnsi="Arial" w:cs="Arial"/>
          <w:b/>
          <w:sz w:val="18"/>
          <w:szCs w:val="18"/>
        </w:rPr>
      </w:pPr>
      <w:r>
        <w:rPr>
          <w:rFonts w:hint="default" w:ascii="Arial" w:hAnsi="Arial" w:cs="Arial"/>
          <w:sz w:val="18"/>
          <w:szCs w:val="18"/>
        </w:rPr>
        <w:t>O prazo de convocação poderá ser prorrogado uma vez, por igual período, mediante solicitação do licitante mais bem classificado ou do fornecedor convocado, desde que:</w:t>
      </w:r>
    </w:p>
    <w:p w14:paraId="0666B065">
      <w:pPr>
        <w:pStyle w:val="303"/>
        <w:tabs>
          <w:tab w:val="left" w:pos="0"/>
        </w:tabs>
        <w:spacing w:before="0" w:after="0" w:line="360" w:lineRule="auto"/>
        <w:rPr>
          <w:rFonts w:hint="default" w:ascii="Arial" w:hAnsi="Arial" w:cs="Arial"/>
          <w:iCs/>
          <w:sz w:val="18"/>
          <w:szCs w:val="18"/>
        </w:rPr>
      </w:pPr>
      <w:r>
        <w:rPr>
          <w:rFonts w:hint="default" w:ascii="Arial" w:hAnsi="Arial" w:cs="Arial"/>
          <w:iCs/>
          <w:sz w:val="18"/>
          <w:szCs w:val="18"/>
        </w:rPr>
        <w:t>(a) a solicitação seja devidamente justificada e apresentada dentro do prazo; e</w:t>
      </w:r>
    </w:p>
    <w:p w14:paraId="47451495">
      <w:pPr>
        <w:pStyle w:val="303"/>
        <w:tabs>
          <w:tab w:val="left" w:pos="0"/>
        </w:tabs>
        <w:spacing w:before="0" w:after="0" w:line="360" w:lineRule="auto"/>
        <w:rPr>
          <w:rFonts w:hint="default" w:ascii="Arial" w:hAnsi="Arial" w:cs="Arial"/>
          <w:iCs/>
          <w:sz w:val="18"/>
          <w:szCs w:val="18"/>
        </w:rPr>
      </w:pPr>
      <w:r>
        <w:rPr>
          <w:rFonts w:hint="default" w:ascii="Arial" w:hAnsi="Arial" w:cs="Arial"/>
          <w:iCs/>
          <w:sz w:val="18"/>
          <w:szCs w:val="18"/>
        </w:rPr>
        <w:t>(b) a justificativa apresentada seja aceita pela Administração.</w:t>
      </w:r>
    </w:p>
    <w:p w14:paraId="1C0E39F3">
      <w:pPr>
        <w:pStyle w:val="303"/>
        <w:numPr>
          <w:ilvl w:val="1"/>
          <w:numId w:val="16"/>
        </w:numPr>
        <w:tabs>
          <w:tab w:val="left" w:pos="0"/>
        </w:tabs>
        <w:spacing w:before="0" w:after="0" w:line="360" w:lineRule="auto"/>
        <w:ind w:left="0" w:firstLine="0"/>
        <w:rPr>
          <w:rFonts w:hint="default" w:ascii="Arial" w:hAnsi="Arial" w:cs="Arial"/>
          <w:iCs/>
          <w:sz w:val="18"/>
          <w:szCs w:val="18"/>
        </w:rPr>
      </w:pPr>
      <w:r>
        <w:rPr>
          <w:rFonts w:hint="default" w:ascii="Arial" w:hAnsi="Arial" w:cs="Arial"/>
          <w:sz w:val="18"/>
          <w:szCs w:val="18"/>
        </w:rPr>
        <w:t>A ata de registro de preços será preferencialmente assinada por meio de assinatura digital e disponibilizada no sistema de registro de preços.</w:t>
      </w:r>
    </w:p>
    <w:p w14:paraId="0897A6DD">
      <w:pPr>
        <w:pStyle w:val="303"/>
        <w:numPr>
          <w:ilvl w:val="1"/>
          <w:numId w:val="16"/>
        </w:numPr>
        <w:tabs>
          <w:tab w:val="left" w:pos="0"/>
        </w:tabs>
        <w:spacing w:before="0" w:after="0" w:line="360" w:lineRule="auto"/>
        <w:ind w:left="0" w:firstLine="0"/>
        <w:rPr>
          <w:rFonts w:hint="default" w:ascii="Arial" w:hAnsi="Arial" w:cs="Arial"/>
          <w:iCs/>
          <w:sz w:val="18"/>
          <w:szCs w:val="18"/>
        </w:rPr>
      </w:pPr>
      <w:r>
        <w:rPr>
          <w:rFonts w:hint="default" w:ascii="Arial" w:hAnsi="Arial" w:cs="Arial"/>
          <w:sz w:val="18"/>
          <w:szCs w:val="18"/>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274AD96">
      <w:pPr>
        <w:pStyle w:val="303"/>
        <w:numPr>
          <w:ilvl w:val="1"/>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O preço registrado, com a indicação dos fornecedores, será divulgado no PNCP e disponibilizado durante a vigência da ata de registro de preços.</w:t>
      </w:r>
    </w:p>
    <w:p w14:paraId="338F428A">
      <w:pPr>
        <w:pStyle w:val="303"/>
        <w:numPr>
          <w:ilvl w:val="1"/>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4ACFC2A">
      <w:pPr>
        <w:pStyle w:val="303"/>
        <w:numPr>
          <w:ilvl w:val="1"/>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7661A76">
      <w:pPr>
        <w:pStyle w:val="303"/>
        <w:tabs>
          <w:tab w:val="left" w:pos="0"/>
        </w:tabs>
        <w:suppressAutoHyphens w:val="0"/>
        <w:spacing w:before="0" w:after="0" w:line="240" w:lineRule="auto"/>
        <w:rPr>
          <w:rFonts w:hint="default" w:ascii="Arial" w:hAnsi="Arial" w:cs="Arial"/>
          <w:sz w:val="18"/>
          <w:szCs w:val="18"/>
        </w:rPr>
      </w:pPr>
    </w:p>
    <w:p w14:paraId="3E0EFF75">
      <w:pPr>
        <w:pStyle w:val="278"/>
        <w:widowControl w:val="0"/>
        <w:numPr>
          <w:ilvl w:val="0"/>
          <w:numId w:val="16"/>
        </w:numPr>
        <w:tabs>
          <w:tab w:val="left" w:pos="0"/>
          <w:tab w:val="clear" w:pos="567"/>
        </w:tabs>
        <w:suppressAutoHyphens w:val="0"/>
        <w:spacing w:before="0" w:line="360" w:lineRule="auto"/>
        <w:ind w:left="0" w:firstLine="0"/>
        <w:rPr>
          <w:rFonts w:hint="default" w:ascii="Arial" w:hAnsi="Arial" w:cs="Arial"/>
          <w:sz w:val="18"/>
          <w:szCs w:val="18"/>
        </w:rPr>
      </w:pPr>
      <w:r>
        <w:rPr>
          <w:rFonts w:hint="default" w:ascii="Arial" w:hAnsi="Arial" w:cs="Arial"/>
          <w:sz w:val="18"/>
          <w:szCs w:val="18"/>
        </w:rPr>
        <w:t xml:space="preserve">DA FORMAÇÃO DO CADASTRO DE RESERVA </w:t>
      </w:r>
    </w:p>
    <w:p w14:paraId="528CA83B">
      <w:pPr>
        <w:pStyle w:val="278"/>
        <w:widowControl w:val="0"/>
        <w:numPr>
          <w:ilvl w:val="1"/>
          <w:numId w:val="16"/>
        </w:numPr>
        <w:tabs>
          <w:tab w:val="left" w:pos="0"/>
          <w:tab w:val="clear" w:pos="567"/>
        </w:tabs>
        <w:suppressAutoHyphens w:val="0"/>
        <w:spacing w:before="0" w:line="360" w:lineRule="auto"/>
        <w:ind w:left="0" w:firstLine="0"/>
        <w:rPr>
          <w:rFonts w:hint="default" w:ascii="Arial" w:hAnsi="Arial" w:cs="Arial"/>
          <w:b w:val="0"/>
          <w:sz w:val="18"/>
          <w:szCs w:val="18"/>
        </w:rPr>
      </w:pPr>
      <w:r>
        <w:rPr>
          <w:rFonts w:hint="default" w:ascii="Arial" w:hAnsi="Arial" w:cs="Arial"/>
          <w:b w:val="0"/>
          <w:sz w:val="18"/>
          <w:szCs w:val="18"/>
        </w:rPr>
        <w:t>Após a homologação da licitação, será incluído na ata, na forma de anexo, o registro:</w:t>
      </w:r>
    </w:p>
    <w:p w14:paraId="7D8ACDE4">
      <w:pPr>
        <w:pStyle w:val="304"/>
        <w:numPr>
          <w:ilvl w:val="2"/>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dos licitantes que aceitarem cotar o objeto com preço igual ao do adjudicatário, observada a classificação na licitação; e </w:t>
      </w:r>
    </w:p>
    <w:p w14:paraId="1BBB4BD5">
      <w:pPr>
        <w:pStyle w:val="304"/>
        <w:numPr>
          <w:ilvl w:val="2"/>
          <w:numId w:val="16"/>
        </w:numPr>
        <w:tabs>
          <w:tab w:val="left" w:pos="0"/>
        </w:tabs>
        <w:suppressAutoHyphens w:val="0"/>
        <w:spacing w:before="0" w:after="0" w:line="360" w:lineRule="auto"/>
        <w:ind w:left="0" w:firstLine="0"/>
        <w:rPr>
          <w:rFonts w:hint="default" w:ascii="Arial" w:hAnsi="Arial" w:cs="Arial"/>
          <w:iCs/>
          <w:sz w:val="18"/>
          <w:szCs w:val="18"/>
        </w:rPr>
      </w:pPr>
      <w:r>
        <w:rPr>
          <w:rFonts w:hint="default" w:ascii="Arial" w:hAnsi="Arial" w:cs="Arial"/>
          <w:sz w:val="18"/>
          <w:szCs w:val="18"/>
        </w:rPr>
        <w:t>dos licitantes que mantiverem sua proposta original</w:t>
      </w:r>
    </w:p>
    <w:p w14:paraId="04CC3E21">
      <w:pPr>
        <w:pStyle w:val="303"/>
        <w:numPr>
          <w:ilvl w:val="1"/>
          <w:numId w:val="16"/>
        </w:numPr>
        <w:tabs>
          <w:tab w:val="left" w:pos="0"/>
          <w:tab w:val="left" w:pos="567"/>
        </w:tabs>
        <w:suppressAutoHyphens w:val="0"/>
        <w:spacing w:before="0" w:after="0" w:line="360" w:lineRule="auto"/>
        <w:ind w:left="0" w:firstLine="0"/>
        <w:rPr>
          <w:rFonts w:hint="default" w:ascii="Arial" w:hAnsi="Arial" w:cs="Arial"/>
          <w:i/>
          <w:iCs/>
          <w:sz w:val="18"/>
          <w:szCs w:val="18"/>
        </w:rPr>
      </w:pPr>
      <w:r>
        <w:rPr>
          <w:rFonts w:hint="default" w:ascii="Arial" w:hAnsi="Arial" w:cs="Arial"/>
          <w:sz w:val="18"/>
          <w:szCs w:val="18"/>
        </w:rPr>
        <w:t xml:space="preserve">  Será respeitada, nas contratações, a ordem de classificação dos licitantes ou fornecedores registrados na ata.</w:t>
      </w:r>
    </w:p>
    <w:p w14:paraId="59CA1AE4">
      <w:pPr>
        <w:pStyle w:val="304"/>
        <w:numPr>
          <w:ilvl w:val="1"/>
          <w:numId w:val="16"/>
        </w:numPr>
        <w:tabs>
          <w:tab w:val="left" w:pos="0"/>
        </w:tabs>
        <w:suppressAutoHyphens w:val="0"/>
        <w:spacing w:before="0" w:after="0" w:line="360" w:lineRule="auto"/>
        <w:ind w:left="0" w:firstLine="0"/>
        <w:rPr>
          <w:rFonts w:hint="default" w:ascii="Arial" w:hAnsi="Arial" w:eastAsia="Times New Roman" w:cs="Arial"/>
          <w:sz w:val="18"/>
          <w:szCs w:val="18"/>
        </w:rPr>
      </w:pPr>
      <w:r>
        <w:rPr>
          <w:rFonts w:hint="default" w:ascii="Arial" w:hAnsi="Arial" w:cs="Arial"/>
          <w:sz w:val="18"/>
          <w:szCs w:val="18"/>
        </w:rPr>
        <w:t>A apresentação de novas propostas na forma deste item não prejudicará o resultado do certame em relação ao licitante mais bem classificado.</w:t>
      </w:r>
    </w:p>
    <w:p w14:paraId="062C16D0">
      <w:pPr>
        <w:pStyle w:val="304"/>
        <w:numPr>
          <w:ilvl w:val="2"/>
          <w:numId w:val="16"/>
        </w:numPr>
        <w:tabs>
          <w:tab w:val="left" w:pos="0"/>
        </w:tabs>
        <w:suppressAutoHyphens w:val="0"/>
        <w:spacing w:before="0" w:after="0" w:line="360" w:lineRule="auto"/>
        <w:ind w:left="0" w:firstLine="0"/>
        <w:rPr>
          <w:rFonts w:hint="default" w:ascii="Arial" w:hAnsi="Arial" w:eastAsia="MS Mincho" w:cs="Arial"/>
          <w:sz w:val="18"/>
          <w:szCs w:val="18"/>
        </w:rPr>
      </w:pPr>
      <w:r>
        <w:rPr>
          <w:rFonts w:hint="default" w:ascii="Arial" w:hAnsi="Arial" w:cs="Arial"/>
          <w:sz w:val="18"/>
          <w:szCs w:val="18"/>
        </w:rPr>
        <w:t>Para fins da ordem de classificação, os licitantes ou fornecedores que aceitarem cotar o objeto com preço igual ao do adjudicatário antecederão aqueles que mantiverem sua proposta original.</w:t>
      </w:r>
    </w:p>
    <w:p w14:paraId="231A61F6">
      <w:pPr>
        <w:pStyle w:val="303"/>
        <w:numPr>
          <w:ilvl w:val="1"/>
          <w:numId w:val="16"/>
        </w:numPr>
        <w:tabs>
          <w:tab w:val="left" w:pos="0"/>
        </w:tabs>
        <w:suppressAutoHyphens w:val="0"/>
        <w:spacing w:before="0" w:after="0" w:line="360" w:lineRule="auto"/>
        <w:ind w:left="0" w:firstLine="0"/>
        <w:rPr>
          <w:rFonts w:hint="default" w:ascii="Arial" w:hAnsi="Arial" w:cs="Arial"/>
          <w:color w:val="FF0000"/>
          <w:sz w:val="18"/>
          <w:szCs w:val="18"/>
        </w:rPr>
      </w:pPr>
      <w:r>
        <w:rPr>
          <w:rFonts w:hint="default" w:ascii="Arial" w:hAnsi="Arial" w:cs="Arial"/>
          <w:color w:val="FF0000"/>
          <w:sz w:val="18"/>
          <w:szCs w:val="18"/>
        </w:rPr>
        <w:t xml:space="preserve"> </w:t>
      </w:r>
      <w:r>
        <w:rPr>
          <w:rFonts w:hint="default" w:ascii="Arial" w:hAnsi="Arial" w:cs="Arial"/>
          <w:sz w:val="18"/>
          <w:szCs w:val="18"/>
        </w:rPr>
        <w:t>A habilitação dos licitantes que comporão o cadastro de reserva será efetuada quando houver necessidade de contratação dos licitantes remanescentes, nas seguintes hipóteses:</w:t>
      </w:r>
    </w:p>
    <w:p w14:paraId="0F9F6608">
      <w:pPr>
        <w:pStyle w:val="304"/>
        <w:numPr>
          <w:ilvl w:val="2"/>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quando o licitante vencedor não assinar a ata de registro de preços no prazo e nas condições estabelecidos no edital; ou</w:t>
      </w:r>
    </w:p>
    <w:p w14:paraId="479C9EB6">
      <w:pPr>
        <w:pStyle w:val="304"/>
        <w:numPr>
          <w:ilvl w:val="2"/>
          <w:numId w:val="16"/>
        </w:numPr>
        <w:tabs>
          <w:tab w:val="left" w:pos="0"/>
        </w:tabs>
        <w:suppressAutoHyphens w:val="0"/>
        <w:spacing w:before="0" w:after="0" w:line="360" w:lineRule="auto"/>
        <w:ind w:left="0" w:firstLine="0"/>
        <w:rPr>
          <w:rFonts w:hint="default" w:ascii="Arial" w:hAnsi="Arial" w:eastAsia="Times New Roman" w:cs="Arial"/>
          <w:sz w:val="18"/>
          <w:szCs w:val="18"/>
        </w:rPr>
      </w:pPr>
      <w:r>
        <w:rPr>
          <w:rFonts w:hint="default" w:ascii="Arial" w:hAnsi="Arial" w:cs="Arial"/>
          <w:sz w:val="18"/>
          <w:szCs w:val="18"/>
        </w:rPr>
        <w:t>quando houver o cancelamento do registro do fornecedor ou do registro de preços, nas hipóteses previstas nos art. 28 e art. 29 do Decreto nº 11.462/23.</w:t>
      </w:r>
    </w:p>
    <w:p w14:paraId="5BB4C9DD">
      <w:pPr>
        <w:pStyle w:val="303"/>
        <w:numPr>
          <w:ilvl w:val="1"/>
          <w:numId w:val="16"/>
        </w:numPr>
        <w:tabs>
          <w:tab w:val="left" w:pos="0"/>
        </w:tabs>
        <w:suppressAutoHyphens w:val="0"/>
        <w:spacing w:before="0" w:after="0" w:line="360" w:lineRule="auto"/>
        <w:ind w:left="0" w:firstLine="0"/>
        <w:rPr>
          <w:rFonts w:hint="default" w:ascii="Arial" w:hAnsi="Arial" w:eastAsia="MS Mincho" w:cs="Arial"/>
          <w:sz w:val="18"/>
          <w:szCs w:val="18"/>
        </w:rPr>
      </w:pPr>
      <w:r>
        <w:rPr>
          <w:rFonts w:hint="default" w:ascii="Arial" w:hAnsi="Arial" w:cs="Arial"/>
          <w:sz w:val="18"/>
          <w:szCs w:val="18"/>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19FE3A3F">
      <w:pPr>
        <w:pStyle w:val="304"/>
        <w:numPr>
          <w:ilvl w:val="2"/>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convocar os licitantes que mantiveram sua proposta original para negociação, na ordem de classificação, com vistas à obtenção de preço melhor, mesmo que acima do preço do adjudicatário; ou</w:t>
      </w:r>
    </w:p>
    <w:p w14:paraId="5C7D0A41">
      <w:pPr>
        <w:pStyle w:val="304"/>
        <w:numPr>
          <w:ilvl w:val="2"/>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adjudicar e firmar o contrato nas condições ofertadas pelos licitantes remanescentes, observada a ordem de classificação, quando frustrada a negociação de melhor condição.</w:t>
      </w:r>
    </w:p>
    <w:p w14:paraId="2379948E">
      <w:pPr>
        <w:pStyle w:val="304"/>
        <w:tabs>
          <w:tab w:val="left" w:pos="0"/>
        </w:tabs>
        <w:suppressAutoHyphens w:val="0"/>
        <w:spacing w:before="0" w:after="0" w:line="240" w:lineRule="auto"/>
        <w:ind w:left="0"/>
        <w:rPr>
          <w:rFonts w:hint="default" w:ascii="Arial" w:hAnsi="Arial" w:cs="Arial"/>
          <w:sz w:val="18"/>
          <w:szCs w:val="18"/>
        </w:rPr>
      </w:pPr>
    </w:p>
    <w:p w14:paraId="411F4206">
      <w:pPr>
        <w:tabs>
          <w:tab w:val="left" w:pos="567"/>
        </w:tabs>
        <w:autoSpaceDE w:val="0"/>
        <w:autoSpaceDN w:val="0"/>
        <w:adjustRightInd w:val="0"/>
        <w:spacing w:line="360" w:lineRule="auto"/>
        <w:jc w:val="both"/>
        <w:rPr>
          <w:rFonts w:hint="default" w:ascii="Arial" w:hAnsi="Arial" w:cs="Arial"/>
          <w:color w:val="FF0000"/>
          <w:sz w:val="18"/>
          <w:szCs w:val="18"/>
        </w:rPr>
      </w:pPr>
      <w:r>
        <w:rPr>
          <w:rFonts w:hint="default" w:ascii="Arial" w:hAnsi="Arial" w:cs="Arial"/>
          <w:b/>
          <w:sz w:val="18"/>
          <w:szCs w:val="18"/>
        </w:rPr>
        <w:t>14.</w:t>
      </w:r>
      <w:r>
        <w:rPr>
          <w:rFonts w:hint="default" w:ascii="Arial" w:hAnsi="Arial" w:cs="Arial"/>
          <w:color w:val="FF0000"/>
          <w:sz w:val="18"/>
          <w:szCs w:val="18"/>
        </w:rPr>
        <w:t xml:space="preserve"> </w:t>
      </w:r>
      <w:r>
        <w:rPr>
          <w:rFonts w:hint="default" w:ascii="Arial" w:hAnsi="Arial" w:cs="Arial"/>
          <w:b/>
          <w:bCs/>
          <w:sz w:val="18"/>
          <w:szCs w:val="18"/>
        </w:rPr>
        <w:t>DA ACEITAÇÃO DO OBJETO E DA FISCALIZAÇÃO</w:t>
      </w:r>
    </w:p>
    <w:p w14:paraId="57ED0A3C">
      <w:pPr>
        <w:tabs>
          <w:tab w:val="left" w:pos="567"/>
        </w:tabs>
        <w:autoSpaceDE w:val="0"/>
        <w:autoSpaceDN w:val="0"/>
        <w:adjustRightInd w:val="0"/>
        <w:spacing w:line="360" w:lineRule="auto"/>
        <w:jc w:val="both"/>
        <w:rPr>
          <w:rFonts w:hint="default" w:ascii="Arial" w:hAnsi="Arial" w:cs="Arial"/>
          <w:b/>
          <w:bCs/>
          <w:sz w:val="18"/>
          <w:szCs w:val="18"/>
        </w:rPr>
      </w:pPr>
      <w:r>
        <w:rPr>
          <w:rFonts w:hint="default" w:ascii="Arial" w:hAnsi="Arial" w:cs="Arial"/>
          <w:sz w:val="18"/>
          <w:szCs w:val="18"/>
        </w:rPr>
        <w:t xml:space="preserve">14.1 </w:t>
      </w:r>
      <w:r>
        <w:rPr>
          <w:rFonts w:hint="default" w:ascii="Arial" w:hAnsi="Arial" w:cs="Arial"/>
          <w:b/>
          <w:bCs/>
          <w:sz w:val="18"/>
          <w:szCs w:val="18"/>
        </w:rPr>
        <w:t>Os critérios de aceitação do objeto e de fiscalização estão previstos no Termo de Referência/Projeto Básico.</w:t>
      </w:r>
    </w:p>
    <w:p w14:paraId="3C10AFBD">
      <w:pPr>
        <w:tabs>
          <w:tab w:val="left" w:pos="567"/>
        </w:tabs>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14.2 Poderá ser substituído a marca/modelo do produto</w:t>
      </w:r>
      <w:r>
        <w:rPr>
          <w:rFonts w:hint="default" w:ascii="Arial" w:hAnsi="Arial" w:cs="Arial"/>
          <w:sz w:val="18"/>
          <w:szCs w:val="18"/>
          <w:lang w:val="pt-BR"/>
        </w:rPr>
        <w:t>, quando for o caso, ob</w:t>
      </w:r>
      <w:r>
        <w:rPr>
          <w:rFonts w:hint="default" w:ascii="Arial" w:hAnsi="Arial" w:cs="Arial"/>
          <w:sz w:val="18"/>
          <w:szCs w:val="18"/>
        </w:rPr>
        <w:t>jeto do contrato, a requerimento do Contratado, desde que fique comprovada a impossibilidade ou dificuldade momentânea ou definitiva de obtenção do produto anteriormente contratado, nas condições pactuadas, seja ofertado novo produto com características equivalentes ou superiores às do anterior, e qualquer acréscimo financeiro seja de responsabilidade do contratado conforme legislação vigente.</w:t>
      </w:r>
    </w:p>
    <w:p w14:paraId="5DBCD1A9">
      <w:pPr>
        <w:autoSpaceDE w:val="0"/>
        <w:autoSpaceDN w:val="0"/>
        <w:adjustRightInd w:val="0"/>
        <w:jc w:val="both"/>
        <w:rPr>
          <w:rFonts w:hint="default" w:ascii="Arial" w:hAnsi="Arial" w:cs="Arial"/>
          <w:b/>
          <w:bCs/>
          <w:sz w:val="18"/>
          <w:szCs w:val="18"/>
        </w:rPr>
      </w:pPr>
    </w:p>
    <w:p w14:paraId="093C50BC">
      <w:pPr>
        <w:autoSpaceDE w:val="0"/>
        <w:autoSpaceDN w:val="0"/>
        <w:adjustRightInd w:val="0"/>
        <w:spacing w:line="360" w:lineRule="auto"/>
        <w:jc w:val="both"/>
        <w:rPr>
          <w:rFonts w:hint="default" w:ascii="Arial" w:hAnsi="Arial" w:cs="Arial"/>
          <w:b/>
          <w:bCs/>
          <w:sz w:val="18"/>
          <w:szCs w:val="18"/>
        </w:rPr>
      </w:pPr>
      <w:r>
        <w:rPr>
          <w:rFonts w:hint="default" w:ascii="Arial" w:hAnsi="Arial" w:cs="Arial"/>
          <w:b/>
          <w:bCs/>
          <w:sz w:val="18"/>
          <w:szCs w:val="18"/>
        </w:rPr>
        <w:t>15. DAS OBRIGAÇÕES DA CONTRATANTE E DA CONTRATADA</w:t>
      </w:r>
    </w:p>
    <w:p w14:paraId="1A5796B2">
      <w:pPr>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15.1 As obrigações da Contratante e da Contratada são as estabelecidas no Termo de Referência/Projeto Básico.</w:t>
      </w:r>
    </w:p>
    <w:p w14:paraId="358E10FE">
      <w:pPr>
        <w:autoSpaceDE w:val="0"/>
        <w:autoSpaceDN w:val="0"/>
        <w:adjustRightInd w:val="0"/>
        <w:jc w:val="both"/>
        <w:rPr>
          <w:rFonts w:hint="default" w:ascii="Arial" w:hAnsi="Arial" w:cs="Arial"/>
          <w:b/>
          <w:bCs/>
          <w:sz w:val="18"/>
          <w:szCs w:val="18"/>
        </w:rPr>
      </w:pPr>
    </w:p>
    <w:p w14:paraId="29B1A3D0">
      <w:pPr>
        <w:spacing w:line="360" w:lineRule="auto"/>
        <w:jc w:val="both"/>
        <w:rPr>
          <w:rFonts w:hint="default" w:ascii="Arial" w:hAnsi="Arial" w:cs="Arial"/>
          <w:b/>
          <w:bCs/>
          <w:sz w:val="18"/>
          <w:szCs w:val="18"/>
        </w:rPr>
      </w:pPr>
      <w:r>
        <w:rPr>
          <w:rFonts w:hint="default" w:ascii="Arial" w:hAnsi="Arial" w:cs="Arial"/>
          <w:b/>
          <w:bCs/>
          <w:sz w:val="18"/>
          <w:szCs w:val="18"/>
        </w:rPr>
        <w:t xml:space="preserve">16. DO PAGAMENTO </w:t>
      </w:r>
    </w:p>
    <w:p w14:paraId="70F3891B">
      <w:pPr>
        <w:spacing w:line="360" w:lineRule="auto"/>
        <w:jc w:val="both"/>
        <w:rPr>
          <w:rFonts w:hint="default" w:ascii="Arial" w:hAnsi="Arial" w:cs="Arial"/>
          <w:sz w:val="18"/>
          <w:szCs w:val="18"/>
        </w:rPr>
      </w:pPr>
      <w:r>
        <w:rPr>
          <w:rFonts w:hint="default" w:ascii="Arial" w:hAnsi="Arial" w:cs="Arial"/>
          <w:color w:val="000000"/>
          <w:sz w:val="18"/>
          <w:szCs w:val="18"/>
        </w:rPr>
        <w:t xml:space="preserve">16.1 O pagamento decorrente da concretização desta licitação será efetuado pelo Setor Financeiro da Prefeitura Municipal de Cataguases, por processo legal, </w:t>
      </w:r>
      <w:r>
        <w:rPr>
          <w:rFonts w:hint="default" w:ascii="Arial" w:hAnsi="Arial" w:cs="Arial"/>
          <w:b/>
          <w:bCs/>
          <w:color w:val="000000"/>
          <w:sz w:val="18"/>
          <w:szCs w:val="18"/>
        </w:rPr>
        <w:t xml:space="preserve">no prazo de 30 (trinta) dias </w:t>
      </w:r>
      <w:r>
        <w:rPr>
          <w:rFonts w:hint="default" w:ascii="Arial" w:hAnsi="Arial" w:cs="Arial"/>
          <w:color w:val="000000"/>
          <w:sz w:val="18"/>
          <w:szCs w:val="18"/>
        </w:rPr>
        <w:t xml:space="preserve">após a apresentação da </w:t>
      </w:r>
      <w:r>
        <w:rPr>
          <w:rFonts w:hint="default" w:ascii="Arial" w:hAnsi="Arial" w:cs="Arial"/>
          <w:color w:val="000000"/>
          <w:sz w:val="18"/>
          <w:szCs w:val="18"/>
          <w:u w:val="single"/>
        </w:rPr>
        <w:t xml:space="preserve">Nota Fiscal, </w:t>
      </w:r>
      <w:r>
        <w:rPr>
          <w:rFonts w:hint="default" w:ascii="Arial" w:hAnsi="Arial" w:cs="Arial"/>
          <w:sz w:val="18"/>
          <w:szCs w:val="18"/>
        </w:rPr>
        <w:t>desde que atendidas as exigências do Edital.</w:t>
      </w:r>
    </w:p>
    <w:p w14:paraId="4E28B20B">
      <w:pPr>
        <w:spacing w:line="360" w:lineRule="auto"/>
        <w:jc w:val="both"/>
        <w:rPr>
          <w:rFonts w:hint="default" w:ascii="Arial" w:hAnsi="Arial" w:cs="Arial"/>
          <w:sz w:val="18"/>
          <w:szCs w:val="18"/>
        </w:rPr>
      </w:pPr>
      <w:r>
        <w:rPr>
          <w:rFonts w:hint="default" w:ascii="Arial" w:hAnsi="Arial" w:cs="Arial"/>
          <w:sz w:val="18"/>
          <w:szCs w:val="18"/>
        </w:rPr>
        <w:t>16.2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14:paraId="78743BDA">
      <w:pPr>
        <w:spacing w:line="360" w:lineRule="auto"/>
        <w:jc w:val="both"/>
        <w:rPr>
          <w:rFonts w:hint="default" w:ascii="Arial" w:hAnsi="Arial" w:cs="Arial"/>
          <w:sz w:val="18"/>
          <w:szCs w:val="18"/>
        </w:rPr>
      </w:pPr>
      <w:r>
        <w:rPr>
          <w:rFonts w:hint="default" w:ascii="Arial" w:hAnsi="Arial" w:cs="Arial"/>
          <w:sz w:val="18"/>
          <w:szCs w:val="18"/>
        </w:rPr>
        <w:t>16.3 Os documentos comprovando tal centralização deverão ser fornecidos pelos órgãos competentes, constando da documentação apresentada na Habilitação.</w:t>
      </w:r>
    </w:p>
    <w:p w14:paraId="7E0EA77D">
      <w:pPr>
        <w:spacing w:line="360" w:lineRule="auto"/>
        <w:jc w:val="both"/>
        <w:rPr>
          <w:rFonts w:hint="default" w:ascii="Arial" w:hAnsi="Arial" w:cs="Arial"/>
          <w:sz w:val="18"/>
          <w:szCs w:val="18"/>
        </w:rPr>
      </w:pPr>
      <w:r>
        <w:rPr>
          <w:rFonts w:hint="default" w:ascii="Arial" w:hAnsi="Arial" w:cs="Arial"/>
          <w:sz w:val="18"/>
          <w:szCs w:val="18"/>
        </w:rPr>
        <w:t xml:space="preserve">16.4 A dotação orçamentária destinada ao pagamento do objeto licitado será prevista e indicada </w:t>
      </w:r>
      <w:r>
        <w:rPr>
          <w:rFonts w:hint="default" w:ascii="Arial" w:hAnsi="Arial" w:cs="Arial"/>
          <w:sz w:val="18"/>
          <w:szCs w:val="18"/>
          <w:lang w:val="pt-BR"/>
        </w:rPr>
        <w:t>na autorização de fornecimento ou nota de empenho emitida</w:t>
      </w:r>
      <w:r>
        <w:rPr>
          <w:rFonts w:hint="default" w:ascii="Arial" w:hAnsi="Arial" w:cs="Arial"/>
          <w:sz w:val="18"/>
          <w:szCs w:val="18"/>
        </w:rPr>
        <w:t xml:space="preserve"> pela área competente da Prefeitura Municipal de Cataguases, sendo:</w:t>
      </w:r>
    </w:p>
    <w:p w14:paraId="0C7C5E6A">
      <w:pPr>
        <w:pStyle w:val="278"/>
        <w:pageBreakBefore w:val="0"/>
        <w:widowControl/>
        <w:numPr>
          <w:ilvl w:val="0"/>
          <w:numId w:val="0"/>
        </w:numPr>
        <w:kinsoku/>
        <w:wordWrap/>
        <w:overflowPunct/>
        <w:topLinePunct w:val="0"/>
        <w:autoSpaceDE/>
        <w:autoSpaceDN/>
        <w:bidi w:val="0"/>
        <w:adjustRightInd/>
        <w:snapToGrid/>
        <w:spacing w:before="0" w:line="360" w:lineRule="auto"/>
        <w:ind w:left="0" w:leftChars="0" w:firstLine="0" w:firstLineChars="0"/>
        <w:textAlignment w:val="auto"/>
        <w:rPr>
          <w:rFonts w:hint="default" w:ascii="Arial" w:hAnsi="Arial" w:cs="Arial"/>
          <w:b w:val="0"/>
          <w:bCs w:val="0"/>
          <w:sz w:val="18"/>
          <w:szCs w:val="18"/>
        </w:rPr>
      </w:pPr>
      <w:r>
        <w:rPr>
          <w:rFonts w:hint="default" w:ascii="Arial" w:hAnsi="Arial" w:cs="Arial"/>
          <w:b w:val="0"/>
          <w:bCs w:val="0"/>
          <w:sz w:val="18"/>
          <w:szCs w:val="18"/>
        </w:rPr>
        <w:t>CENTROS DE CUSTOS</w:t>
      </w:r>
      <w:r>
        <w:rPr>
          <w:rFonts w:hint="default" w:ascii="Arial" w:hAnsi="Arial" w:cs="Arial"/>
          <w:b w:val="0"/>
          <w:bCs w:val="0"/>
          <w:sz w:val="18"/>
          <w:szCs w:val="18"/>
          <w:lang w:val="pt-BR"/>
        </w:rPr>
        <w:t xml:space="preserve"> </w:t>
      </w:r>
      <w:r>
        <w:rPr>
          <w:rFonts w:hint="default" w:ascii="Arial" w:hAnsi="Arial" w:cs="Arial"/>
          <w:b w:val="0"/>
          <w:bCs w:val="0"/>
          <w:sz w:val="18"/>
          <w:szCs w:val="18"/>
        </w:rPr>
        <w:t>02.</w:t>
      </w:r>
      <w:r>
        <w:rPr>
          <w:rFonts w:hint="default" w:ascii="Arial" w:hAnsi="Arial" w:cs="Arial"/>
          <w:b w:val="0"/>
          <w:bCs w:val="0"/>
          <w:sz w:val="18"/>
          <w:szCs w:val="18"/>
          <w:lang w:val="pt-BR"/>
        </w:rPr>
        <w:t>0</w:t>
      </w:r>
      <w:r>
        <w:rPr>
          <w:rFonts w:hint="default" w:ascii="Arial" w:hAnsi="Arial" w:cs="Arial"/>
          <w:b w:val="0"/>
          <w:bCs w:val="0"/>
          <w:sz w:val="18"/>
          <w:szCs w:val="18"/>
        </w:rPr>
        <w:t xml:space="preserve">08 – Secretaria de Saúde </w:t>
      </w:r>
    </w:p>
    <w:p w14:paraId="19F32405">
      <w:pPr>
        <w:pageBreakBefore w:val="0"/>
        <w:widowControl/>
        <w:kinsoku/>
        <w:wordWrap/>
        <w:overflowPunct/>
        <w:topLinePunct w:val="0"/>
        <w:autoSpaceDE/>
        <w:autoSpaceDN/>
        <w:bidi w:val="0"/>
        <w:adjustRightInd/>
        <w:snapToGrid/>
        <w:spacing w:after="0" w:line="360" w:lineRule="auto"/>
        <w:ind w:left="0" w:leftChars="0" w:firstLine="0" w:firstLineChars="0"/>
        <w:jc w:val="both"/>
        <w:textAlignment w:val="auto"/>
        <w:rPr>
          <w:rFonts w:hint="default" w:ascii="Arial" w:hAnsi="Arial" w:cs="Arial"/>
          <w:b w:val="0"/>
          <w:bCs w:val="0"/>
          <w:sz w:val="18"/>
          <w:szCs w:val="18"/>
        </w:rPr>
      </w:pPr>
      <w:r>
        <w:rPr>
          <w:rFonts w:hint="default" w:ascii="Arial" w:hAnsi="Arial" w:cs="Arial"/>
          <w:b w:val="0"/>
          <w:bCs w:val="0"/>
          <w:sz w:val="18"/>
          <w:szCs w:val="18"/>
        </w:rPr>
        <w:t xml:space="preserve">10.122.0000.0.008 – Cumprimento de Sentenças Judiciais na Área da Saúde. </w:t>
      </w:r>
    </w:p>
    <w:p w14:paraId="0A826157">
      <w:pPr>
        <w:pageBreakBefore w:val="0"/>
        <w:widowControl/>
        <w:kinsoku/>
        <w:wordWrap/>
        <w:overflowPunct/>
        <w:topLinePunct w:val="0"/>
        <w:autoSpaceDE/>
        <w:autoSpaceDN/>
        <w:bidi w:val="0"/>
        <w:adjustRightInd/>
        <w:snapToGrid/>
        <w:spacing w:after="0" w:line="360" w:lineRule="auto"/>
        <w:ind w:left="0" w:leftChars="0" w:firstLine="0" w:firstLineChars="0"/>
        <w:jc w:val="both"/>
        <w:textAlignment w:val="auto"/>
        <w:rPr>
          <w:rFonts w:hint="default" w:ascii="Arial" w:hAnsi="Arial" w:cs="Arial"/>
          <w:b w:val="0"/>
          <w:bCs w:val="0"/>
          <w:sz w:val="18"/>
          <w:szCs w:val="18"/>
        </w:rPr>
      </w:pPr>
      <w:r>
        <w:rPr>
          <w:rFonts w:hint="default" w:ascii="Arial" w:hAnsi="Arial" w:cs="Arial"/>
          <w:b w:val="0"/>
          <w:bCs w:val="0"/>
          <w:sz w:val="18"/>
          <w:szCs w:val="18"/>
        </w:rPr>
        <w:t>3.3.90.91.00.00.00.00 – Sentenças Judiciais (Ficha 324)</w:t>
      </w:r>
    </w:p>
    <w:p w14:paraId="716104C9">
      <w:pPr>
        <w:pageBreakBefore w:val="0"/>
        <w:widowControl/>
        <w:kinsoku/>
        <w:wordWrap/>
        <w:overflowPunct/>
        <w:topLinePunct w:val="0"/>
        <w:autoSpaceDE/>
        <w:autoSpaceDN/>
        <w:bidi w:val="0"/>
        <w:adjustRightInd/>
        <w:snapToGrid/>
        <w:spacing w:after="0" w:line="360" w:lineRule="auto"/>
        <w:ind w:left="0" w:leftChars="0" w:firstLine="0" w:firstLineChars="0"/>
        <w:jc w:val="both"/>
        <w:textAlignment w:val="auto"/>
        <w:rPr>
          <w:rFonts w:hint="default" w:ascii="Arial" w:hAnsi="Arial" w:cs="Arial"/>
          <w:b w:val="0"/>
          <w:bCs w:val="0"/>
          <w:sz w:val="18"/>
          <w:szCs w:val="18"/>
          <w:lang w:val="pt-BR"/>
        </w:rPr>
      </w:pPr>
      <w:r>
        <w:rPr>
          <w:rFonts w:hint="default" w:ascii="Arial" w:hAnsi="Arial" w:cs="Arial"/>
          <w:b w:val="0"/>
          <w:bCs w:val="0"/>
          <w:sz w:val="18"/>
          <w:szCs w:val="18"/>
          <w:lang w:val="pt-BR"/>
        </w:rPr>
        <w:t>1.500.000.1002.000 - Recursos não vinculados de impostos</w:t>
      </w:r>
    </w:p>
    <w:p w14:paraId="3877E167">
      <w:pPr>
        <w:pStyle w:val="220"/>
        <w:tabs>
          <w:tab w:val="left" w:pos="851"/>
          <w:tab w:val="left" w:pos="993"/>
        </w:tabs>
        <w:spacing w:line="360" w:lineRule="auto"/>
        <w:ind w:left="0"/>
        <w:jc w:val="both"/>
        <w:rPr>
          <w:rFonts w:hint="default" w:ascii="Arial" w:hAnsi="Arial" w:cs="Arial"/>
          <w:sz w:val="18"/>
          <w:szCs w:val="18"/>
        </w:rPr>
      </w:pPr>
      <w:r>
        <w:rPr>
          <w:rFonts w:hint="default" w:ascii="Arial" w:hAnsi="Arial" w:cs="Arial"/>
          <w:sz w:val="18"/>
          <w:szCs w:val="18"/>
        </w:rPr>
        <w:t>16.5 Quando for constatada qualquer irregularidade na Nota Fiscal/Fatura, será imediatamente solicitada à empresa adjudicatária carta de correção quando couber, ou ainda pertinente regularização, que deverá ser encaminhada no prazo de 2 (dois) dias úteis.</w:t>
      </w:r>
    </w:p>
    <w:p w14:paraId="6002A0DC">
      <w:pPr>
        <w:pStyle w:val="220"/>
        <w:tabs>
          <w:tab w:val="left" w:pos="851"/>
          <w:tab w:val="left" w:pos="993"/>
        </w:tabs>
        <w:spacing w:line="360" w:lineRule="auto"/>
        <w:ind w:left="0"/>
        <w:jc w:val="both"/>
        <w:rPr>
          <w:rFonts w:hint="default" w:ascii="Arial" w:hAnsi="Arial" w:cs="Arial"/>
          <w:color w:val="000000"/>
          <w:sz w:val="18"/>
          <w:szCs w:val="18"/>
        </w:rPr>
      </w:pPr>
      <w:r>
        <w:rPr>
          <w:rFonts w:hint="default" w:ascii="Arial" w:hAnsi="Arial" w:cs="Arial"/>
          <w:sz w:val="18"/>
          <w:szCs w:val="18"/>
        </w:rPr>
        <w:t xml:space="preserve">16.6 Caso a contratada não apresente carta de correção no prazo estipulado, o prazo para pagamento será recontado, a partir da data da sua apresentação. </w:t>
      </w:r>
    </w:p>
    <w:p w14:paraId="78A9B40C">
      <w:pPr>
        <w:pStyle w:val="220"/>
        <w:tabs>
          <w:tab w:val="left" w:pos="851"/>
        </w:tabs>
        <w:spacing w:line="360" w:lineRule="auto"/>
        <w:ind w:left="0"/>
        <w:jc w:val="both"/>
        <w:rPr>
          <w:rFonts w:hint="default" w:ascii="Arial" w:hAnsi="Arial" w:cs="Arial"/>
          <w:color w:val="000000"/>
          <w:sz w:val="18"/>
          <w:szCs w:val="18"/>
        </w:rPr>
      </w:pPr>
      <w:r>
        <w:rPr>
          <w:rFonts w:hint="default" w:ascii="Arial" w:hAnsi="Arial" w:cs="Arial"/>
          <w:sz w:val="18"/>
          <w:szCs w:val="18"/>
        </w:rPr>
        <w:t>16.7 O valor estimado para contratação é de</w:t>
      </w:r>
      <w:r>
        <w:rPr>
          <w:rFonts w:hint="default" w:ascii="Arial" w:hAnsi="Arial" w:cs="Arial"/>
          <w:b w:val="0"/>
          <w:bCs w:val="0"/>
          <w:sz w:val="18"/>
          <w:szCs w:val="18"/>
          <w:u w:val="none"/>
        </w:rPr>
        <w:t xml:space="preserve"> </w:t>
      </w:r>
      <w:r>
        <w:rPr>
          <w:rFonts w:ascii="Arial" w:hAnsi="Arial" w:eastAsia="Times New Roman" w:cs="Arial"/>
          <w:bCs/>
          <w:sz w:val="18"/>
          <w:szCs w:val="18"/>
        </w:rPr>
        <w:t xml:space="preserve">R$ </w:t>
      </w:r>
      <w:r>
        <w:rPr>
          <w:rFonts w:ascii="Arial" w:hAnsi="Arial" w:cs="Arial"/>
          <w:sz w:val="18"/>
          <w:szCs w:val="18"/>
        </w:rPr>
        <w:t xml:space="preserve">R$ </w:t>
      </w:r>
      <w:r>
        <w:rPr>
          <w:rFonts w:hint="default" w:ascii="Arial" w:hAnsi="Arial" w:cs="Arial"/>
          <w:sz w:val="18"/>
          <w:szCs w:val="18"/>
          <w:lang w:val="pt-BR"/>
        </w:rPr>
        <w:t>150.000,00 (cento e cinquenta</w:t>
      </w:r>
      <w:r>
        <w:rPr>
          <w:rFonts w:ascii="Arial" w:hAnsi="Arial" w:cs="Arial"/>
          <w:sz w:val="18"/>
          <w:szCs w:val="18"/>
        </w:rPr>
        <w:t xml:space="preserve"> mil reais)</w:t>
      </w:r>
      <w:r>
        <w:rPr>
          <w:rFonts w:hint="default" w:ascii="Arial" w:hAnsi="Arial" w:cs="Arial"/>
          <w:b w:val="0"/>
          <w:bCs w:val="0"/>
          <w:sz w:val="18"/>
          <w:szCs w:val="18"/>
        </w:rPr>
        <w:t>, de acordo com o mapa analítico an</w:t>
      </w:r>
      <w:r>
        <w:rPr>
          <w:rFonts w:hint="default" w:ascii="Arial" w:hAnsi="Arial" w:cs="Arial"/>
          <w:sz w:val="18"/>
          <w:szCs w:val="18"/>
        </w:rPr>
        <w:t>exo.</w:t>
      </w:r>
    </w:p>
    <w:p w14:paraId="74BE0BA1">
      <w:pPr>
        <w:spacing w:line="360" w:lineRule="auto"/>
        <w:jc w:val="both"/>
        <w:rPr>
          <w:rFonts w:hint="default" w:ascii="Arial" w:hAnsi="Arial" w:cs="Arial"/>
          <w:b/>
          <w:sz w:val="18"/>
          <w:szCs w:val="18"/>
        </w:rPr>
      </w:pPr>
      <w:r>
        <w:rPr>
          <w:rFonts w:hint="default" w:ascii="Arial" w:hAnsi="Arial" w:cs="Arial"/>
          <w:sz w:val="18"/>
          <w:szCs w:val="18"/>
        </w:rPr>
        <w:t>16.8 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14:paraId="5FFD27BB">
      <w:pPr>
        <w:spacing w:line="360" w:lineRule="auto"/>
        <w:jc w:val="both"/>
        <w:rPr>
          <w:rFonts w:hint="default" w:ascii="Arial" w:hAnsi="Arial" w:cs="Arial"/>
          <w:sz w:val="18"/>
          <w:szCs w:val="18"/>
        </w:rPr>
      </w:pPr>
      <w:r>
        <w:rPr>
          <w:rFonts w:hint="default" w:ascii="Arial" w:hAnsi="Arial" w:cs="Arial"/>
          <w:sz w:val="18"/>
          <w:szCs w:val="18"/>
        </w:rPr>
        <w:t>16.9 A empresa deverá observar e cumprir o Decreto 5.811/2023 para as emissões da NF em relação às retenções do IR.</w:t>
      </w:r>
    </w:p>
    <w:p w14:paraId="2873ED63">
      <w:pPr>
        <w:spacing w:line="240" w:lineRule="auto"/>
        <w:jc w:val="both"/>
        <w:rPr>
          <w:rFonts w:hint="default" w:ascii="Arial" w:hAnsi="Arial" w:cs="Arial"/>
          <w:sz w:val="18"/>
          <w:szCs w:val="18"/>
        </w:rPr>
      </w:pPr>
    </w:p>
    <w:p w14:paraId="3B7B17B0">
      <w:pPr>
        <w:pStyle w:val="278"/>
        <w:numPr>
          <w:ilvl w:val="0"/>
          <w:numId w:val="0"/>
        </w:numPr>
        <w:tabs>
          <w:tab w:val="left" w:pos="284"/>
          <w:tab w:val="clear" w:pos="567"/>
        </w:tabs>
        <w:spacing w:before="0" w:line="360" w:lineRule="auto"/>
        <w:rPr>
          <w:rFonts w:hint="default" w:ascii="Arial" w:hAnsi="Arial" w:cs="Arial"/>
          <w:sz w:val="18"/>
          <w:szCs w:val="18"/>
        </w:rPr>
      </w:pPr>
      <w:r>
        <w:rPr>
          <w:rFonts w:hint="default" w:ascii="Arial" w:hAnsi="Arial" w:cs="Arial"/>
          <w:sz w:val="18"/>
          <w:szCs w:val="18"/>
        </w:rPr>
        <w:t>17. DAS INFRAÇÕES ADMINISTRATIVAS E SANÇÕES</w:t>
      </w:r>
    </w:p>
    <w:p w14:paraId="3BF0FA69">
      <w:pPr>
        <w:pStyle w:val="304"/>
        <w:spacing w:before="0" w:after="0" w:line="360" w:lineRule="auto"/>
        <w:ind w:left="0"/>
        <w:rPr>
          <w:rFonts w:hint="default" w:ascii="Arial" w:hAnsi="Arial" w:cs="Arial"/>
          <w:color w:val="1D2228"/>
          <w:sz w:val="18"/>
          <w:szCs w:val="18"/>
          <w:shd w:val="clear" w:color="auto" w:fill="FFFFFF"/>
        </w:rPr>
      </w:pPr>
      <w:bookmarkStart w:id="26" w:name="_Ref114668085"/>
      <w:bookmarkStart w:id="27" w:name="_Hlk114652595"/>
      <w:r>
        <w:rPr>
          <w:rFonts w:hint="default" w:ascii="Arial" w:hAnsi="Arial" w:cs="Arial"/>
          <w:color w:val="auto"/>
          <w:sz w:val="18"/>
          <w:szCs w:val="18"/>
        </w:rPr>
        <w:t xml:space="preserve">17.1 O licitante ou o contratado será responsabilizado administrativamente pelas seguintes infrações, conforme </w:t>
      </w:r>
      <w:r>
        <w:rPr>
          <w:rFonts w:hint="default" w:ascii="Arial" w:hAnsi="Arial" w:cs="Arial"/>
          <w:color w:val="1D2228"/>
          <w:sz w:val="18"/>
          <w:szCs w:val="18"/>
          <w:shd w:val="clear" w:color="auto" w:fill="FFFFFF"/>
        </w:rPr>
        <w:t xml:space="preserve">disposto nos arts. 155 e seguintes da Lei nº 14.133/21. </w:t>
      </w:r>
    </w:p>
    <w:p w14:paraId="5691A004">
      <w:pPr>
        <w:pStyle w:val="303"/>
        <w:tabs>
          <w:tab w:val="left" w:pos="567"/>
        </w:tabs>
        <w:spacing w:before="0" w:after="0" w:line="360" w:lineRule="auto"/>
        <w:rPr>
          <w:rFonts w:hint="default" w:ascii="Arial" w:hAnsi="Arial" w:cs="Arial"/>
          <w:color w:val="auto"/>
          <w:sz w:val="18"/>
          <w:szCs w:val="18"/>
        </w:rPr>
      </w:pPr>
      <w:r>
        <w:rPr>
          <w:rFonts w:hint="default" w:ascii="Arial" w:hAnsi="Arial" w:cs="Arial"/>
          <w:color w:val="auto"/>
          <w:sz w:val="18"/>
          <w:szCs w:val="18"/>
        </w:rPr>
        <w:t xml:space="preserve">17.2 Com fulcro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1"/>
          <w:rFonts w:hint="default" w:ascii="Arial" w:hAnsi="Arial" w:cs="Arial"/>
          <w:color w:val="auto"/>
          <w:sz w:val="18"/>
          <w:szCs w:val="18"/>
        </w:rPr>
        <w:t>Lei nº 14.133, de 2021</w:t>
      </w:r>
      <w:r>
        <w:rPr>
          <w:rStyle w:val="11"/>
          <w:rFonts w:hint="default" w:ascii="Arial" w:hAnsi="Arial" w:cs="Arial"/>
          <w:color w:val="auto"/>
          <w:sz w:val="18"/>
          <w:szCs w:val="18"/>
        </w:rPr>
        <w:fldChar w:fldCharType="end"/>
      </w:r>
      <w:r>
        <w:rPr>
          <w:rFonts w:hint="default" w:ascii="Arial" w:hAnsi="Arial" w:cs="Arial"/>
          <w:color w:val="auto"/>
          <w:sz w:val="18"/>
          <w:szCs w:val="18"/>
        </w:rPr>
        <w:t xml:space="preserve">, a Administração poderá, garantida a prévia defesa, aplicar aos licitantes e/ou adjudicatários as seguintes sanções, sem prejuízo das responsabilidades civil e criminal: </w:t>
      </w:r>
    </w:p>
    <w:p w14:paraId="43B32547">
      <w:pPr>
        <w:pStyle w:val="304"/>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 xml:space="preserve">17.2.1 advertência; </w:t>
      </w:r>
    </w:p>
    <w:p w14:paraId="4FFD49A7">
      <w:pPr>
        <w:pStyle w:val="304"/>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17.2.2 multa;</w:t>
      </w:r>
    </w:p>
    <w:p w14:paraId="6439AC20">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17.2.3 impedimento de licitar e contratar:</w:t>
      </w:r>
    </w:p>
    <w:p w14:paraId="6231376C">
      <w:pPr>
        <w:pStyle w:val="304"/>
        <w:tabs>
          <w:tab w:val="left" w:pos="1843"/>
        </w:tabs>
        <w:spacing w:before="0" w:after="0" w:line="360" w:lineRule="auto"/>
        <w:ind w:left="0"/>
        <w:rPr>
          <w:rFonts w:hint="default" w:ascii="Arial" w:hAnsi="Arial" w:cs="Arial"/>
          <w:b/>
          <w:color w:val="auto"/>
          <w:sz w:val="18"/>
          <w:szCs w:val="18"/>
        </w:rPr>
      </w:pPr>
      <w:r>
        <w:rPr>
          <w:rFonts w:hint="default" w:ascii="Arial" w:hAnsi="Arial" w:cs="Arial"/>
          <w:color w:val="auto"/>
          <w:sz w:val="18"/>
          <w:szCs w:val="18"/>
        </w:rPr>
        <w:t xml:space="preserve">17.2.4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8"/>
          <w:szCs w:val="18"/>
        </w:rPr>
        <w:t>aplicou a penalidade.</w:t>
      </w:r>
    </w:p>
    <w:p w14:paraId="74ABA3E9">
      <w:pPr>
        <w:pStyle w:val="304"/>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17.2.5 na aplicação das sanções serão considerados:</w:t>
      </w:r>
    </w:p>
    <w:p w14:paraId="0B37F11D">
      <w:pPr>
        <w:pStyle w:val="305"/>
        <w:spacing w:before="0" w:after="0" w:line="360" w:lineRule="auto"/>
        <w:ind w:left="0"/>
        <w:rPr>
          <w:rFonts w:hint="default" w:ascii="Arial" w:hAnsi="Arial" w:cs="Arial"/>
          <w:sz w:val="18"/>
          <w:szCs w:val="18"/>
        </w:rPr>
      </w:pPr>
      <w:r>
        <w:rPr>
          <w:rFonts w:hint="default" w:ascii="Arial" w:hAnsi="Arial" w:cs="Arial"/>
          <w:sz w:val="18"/>
          <w:szCs w:val="18"/>
        </w:rPr>
        <w:t>17.2.6 a natureza e a gravidade da infração cometida;</w:t>
      </w:r>
    </w:p>
    <w:p w14:paraId="54A2AF9C">
      <w:pPr>
        <w:pStyle w:val="305"/>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17.2.7 as peculiaridades do caso concreto;</w:t>
      </w:r>
    </w:p>
    <w:p w14:paraId="69E5E0DB">
      <w:pPr>
        <w:pStyle w:val="305"/>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17.2.8 as circunstâncias agravantes ou atenuantes;</w:t>
      </w:r>
    </w:p>
    <w:p w14:paraId="2CCC0A0C">
      <w:pPr>
        <w:pStyle w:val="305"/>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17.2.9 os danos que dela provierem para a Administração Pública;</w:t>
      </w:r>
    </w:p>
    <w:p w14:paraId="3B7B1E61">
      <w:pPr>
        <w:pStyle w:val="278"/>
        <w:numPr>
          <w:ilvl w:val="0"/>
          <w:numId w:val="0"/>
        </w:numPr>
        <w:spacing w:before="0" w:line="360" w:lineRule="auto"/>
        <w:rPr>
          <w:rFonts w:hint="default" w:ascii="Arial" w:hAnsi="Arial" w:cs="Arial"/>
          <w:b w:val="0"/>
          <w:sz w:val="18"/>
          <w:szCs w:val="18"/>
        </w:rPr>
      </w:pPr>
      <w:r>
        <w:rPr>
          <w:rFonts w:hint="default" w:ascii="Arial" w:hAnsi="Arial" w:cs="Arial"/>
          <w:b w:val="0"/>
          <w:sz w:val="18"/>
          <w:szCs w:val="18"/>
        </w:rPr>
        <w:t>17.2.10 a implantação ou o aperfeiçoamento de programa de integridade</w:t>
      </w:r>
      <w:r>
        <w:rPr>
          <w:rFonts w:hint="default" w:ascii="Arial" w:hAnsi="Arial" w:cs="Arial"/>
          <w:sz w:val="18"/>
          <w:szCs w:val="18"/>
        </w:rPr>
        <w:t xml:space="preserve">, </w:t>
      </w:r>
      <w:r>
        <w:rPr>
          <w:rFonts w:hint="default" w:ascii="Arial" w:hAnsi="Arial" w:cs="Arial"/>
          <w:b w:val="0"/>
          <w:sz w:val="18"/>
          <w:szCs w:val="18"/>
        </w:rPr>
        <w:t>conforme normas e orientações dos órgãos de controle.</w:t>
      </w:r>
    </w:p>
    <w:p w14:paraId="03EBB600">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17.3 A sanção prevista no item 17.1 será aplicada exclusivamente pela infração administrativa prevista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 </w:instrText>
      </w:r>
      <w:r>
        <w:rPr>
          <w:rFonts w:hint="default" w:ascii="Arial" w:hAnsi="Arial" w:cs="Arial"/>
          <w:sz w:val="18"/>
          <w:szCs w:val="18"/>
        </w:rPr>
        <w:fldChar w:fldCharType="separate"/>
      </w:r>
      <w:r>
        <w:rPr>
          <w:rStyle w:val="11"/>
          <w:rFonts w:hint="default" w:ascii="Arial" w:hAnsi="Arial" w:cs="Arial"/>
          <w:color w:val="auto"/>
          <w:sz w:val="18"/>
          <w:szCs w:val="18"/>
        </w:rPr>
        <w:t>inciso I do </w:t>
      </w:r>
      <w:r>
        <w:rPr>
          <w:rStyle w:val="11"/>
          <w:rFonts w:hint="default" w:ascii="Arial" w:hAnsi="Arial" w:cs="Arial"/>
          <w:bCs/>
          <w:color w:val="auto"/>
          <w:sz w:val="18"/>
          <w:szCs w:val="18"/>
        </w:rPr>
        <w:t>caput</w:t>
      </w:r>
      <w:r>
        <w:rPr>
          <w:rStyle w:val="11"/>
          <w:rFonts w:hint="default" w:ascii="Arial" w:hAnsi="Arial" w:cs="Arial"/>
          <w:color w:val="auto"/>
          <w:sz w:val="18"/>
          <w:szCs w:val="18"/>
        </w:rPr>
        <w:t> do art. 155 da Lei</w:t>
      </w:r>
      <w:r>
        <w:rPr>
          <w:rStyle w:val="11"/>
          <w:rFonts w:hint="default" w:ascii="Arial" w:hAnsi="Arial" w:cs="Arial"/>
          <w:color w:val="auto"/>
          <w:sz w:val="18"/>
          <w:szCs w:val="18"/>
        </w:rPr>
        <w:fldChar w:fldCharType="end"/>
      </w:r>
      <w:r>
        <w:rPr>
          <w:rFonts w:hint="default" w:ascii="Arial" w:hAnsi="Arial" w:cs="Arial"/>
          <w:color w:val="auto"/>
          <w:sz w:val="18"/>
          <w:szCs w:val="18"/>
        </w:rPr>
        <w:t xml:space="preserve"> 14.133/21, quando não se justificar a imposição de penalidade mais grave.</w:t>
      </w:r>
    </w:p>
    <w:p w14:paraId="2F21C241">
      <w:pPr>
        <w:pStyle w:val="304"/>
        <w:spacing w:before="0" w:after="0" w:line="360" w:lineRule="auto"/>
        <w:ind w:left="0"/>
        <w:rPr>
          <w:rFonts w:hint="default" w:ascii="Arial" w:hAnsi="Arial" w:cs="Arial"/>
          <w:sz w:val="18"/>
          <w:szCs w:val="18"/>
        </w:rPr>
      </w:pPr>
      <w:r>
        <w:rPr>
          <w:rFonts w:hint="default" w:ascii="Arial" w:hAnsi="Arial" w:cs="Arial"/>
          <w:color w:val="1D2228"/>
          <w:sz w:val="18"/>
          <w:szCs w:val="18"/>
          <w:shd w:val="clear" w:color="auto" w:fill="FFFFFF"/>
        </w:rPr>
        <w:t xml:space="preserve">17.3.1 </w:t>
      </w:r>
      <w:r>
        <w:rPr>
          <w:rFonts w:hint="default" w:ascii="Arial" w:hAnsi="Arial" w:cs="Arial"/>
          <w:sz w:val="18"/>
          <w:szCs w:val="18"/>
        </w:rPr>
        <w:t xml:space="preserve">dar causa à inexecução parcial do contrato; 10% do valor da parcela inadimplida; </w:t>
      </w:r>
    </w:p>
    <w:p w14:paraId="3FBAF5EB">
      <w:pPr>
        <w:pStyle w:val="304"/>
        <w:spacing w:before="0" w:after="0" w:line="360" w:lineRule="auto"/>
        <w:ind w:left="0"/>
        <w:rPr>
          <w:rFonts w:hint="default" w:ascii="Arial" w:hAnsi="Arial" w:cs="Arial"/>
          <w:sz w:val="18"/>
          <w:szCs w:val="18"/>
        </w:rPr>
      </w:pPr>
      <w:r>
        <w:rPr>
          <w:rFonts w:hint="default" w:ascii="Arial" w:hAnsi="Arial" w:cs="Arial"/>
          <w:sz w:val="18"/>
          <w:szCs w:val="18"/>
        </w:rPr>
        <w:t>17.3.2 dar causa à inexecução parcial do contrato que cause grave dano à Administração, ao funcionamento dos serviços públicos ou ao interesse coletivo; 15% do valor do contrato;</w:t>
      </w:r>
    </w:p>
    <w:p w14:paraId="15745CCA">
      <w:pPr>
        <w:pStyle w:val="304"/>
        <w:spacing w:before="0" w:after="0" w:line="360" w:lineRule="auto"/>
        <w:ind w:left="0"/>
        <w:rPr>
          <w:rFonts w:hint="default" w:ascii="Arial" w:hAnsi="Arial" w:cs="Arial"/>
          <w:sz w:val="18"/>
          <w:szCs w:val="18"/>
        </w:rPr>
      </w:pPr>
      <w:r>
        <w:rPr>
          <w:rFonts w:hint="default" w:ascii="Arial" w:hAnsi="Arial" w:cs="Arial"/>
          <w:sz w:val="18"/>
          <w:szCs w:val="18"/>
        </w:rPr>
        <w:t>17.3.3 dar causa à inexecução total do contrato; 20% do valor do contrato;</w:t>
      </w:r>
    </w:p>
    <w:p w14:paraId="4558CBF5">
      <w:pPr>
        <w:pStyle w:val="304"/>
        <w:spacing w:before="0" w:after="0" w:line="360" w:lineRule="auto"/>
        <w:ind w:left="0"/>
        <w:rPr>
          <w:rFonts w:hint="default" w:ascii="Arial" w:hAnsi="Arial" w:cs="Arial"/>
          <w:sz w:val="18"/>
          <w:szCs w:val="18"/>
        </w:rPr>
      </w:pPr>
      <w:r>
        <w:rPr>
          <w:rFonts w:hint="default" w:ascii="Arial" w:hAnsi="Arial" w:cs="Arial"/>
          <w:sz w:val="18"/>
          <w:szCs w:val="18"/>
        </w:rPr>
        <w:t>17.3.4 deixar de entregar a documentação exigida para o certame; 5% do valor do contrato;</w:t>
      </w:r>
    </w:p>
    <w:p w14:paraId="36DE3D0F">
      <w:pPr>
        <w:pStyle w:val="304"/>
        <w:spacing w:before="0" w:after="0" w:line="360" w:lineRule="auto"/>
        <w:ind w:left="0"/>
        <w:rPr>
          <w:rFonts w:hint="default" w:ascii="Arial" w:hAnsi="Arial" w:cs="Arial"/>
          <w:sz w:val="18"/>
          <w:szCs w:val="18"/>
        </w:rPr>
      </w:pPr>
      <w:r>
        <w:rPr>
          <w:rFonts w:hint="default" w:ascii="Arial" w:hAnsi="Arial" w:cs="Arial"/>
          <w:sz w:val="18"/>
          <w:szCs w:val="18"/>
        </w:rPr>
        <w:t>17.3.5 não manter a proposta, salvo em decorrência de fato superveniente devidamente justificado; 10% do valor do contrato;</w:t>
      </w:r>
    </w:p>
    <w:p w14:paraId="2793AB3D">
      <w:pPr>
        <w:pStyle w:val="304"/>
        <w:spacing w:before="0" w:after="0" w:line="360" w:lineRule="auto"/>
        <w:ind w:left="0"/>
        <w:rPr>
          <w:rFonts w:hint="default" w:ascii="Arial" w:hAnsi="Arial" w:cs="Arial"/>
          <w:sz w:val="18"/>
          <w:szCs w:val="18"/>
        </w:rPr>
      </w:pPr>
      <w:r>
        <w:rPr>
          <w:rFonts w:hint="default" w:ascii="Arial" w:hAnsi="Arial" w:cs="Arial"/>
          <w:sz w:val="18"/>
          <w:szCs w:val="18"/>
        </w:rPr>
        <w:t>17.3.6 não celebrar o contrato ou não entregar a documentação exigida para a contratação, quando convocado dentro do prazo de validade de sua proposta; 5% do valor do contrato;</w:t>
      </w:r>
    </w:p>
    <w:p w14:paraId="76D8613C">
      <w:pPr>
        <w:pStyle w:val="304"/>
        <w:spacing w:before="0" w:after="0" w:line="360" w:lineRule="auto"/>
        <w:ind w:left="0"/>
        <w:rPr>
          <w:rFonts w:hint="default" w:ascii="Arial" w:hAnsi="Arial" w:cs="Arial"/>
          <w:sz w:val="18"/>
          <w:szCs w:val="18"/>
        </w:rPr>
      </w:pPr>
      <w:r>
        <w:rPr>
          <w:rFonts w:hint="default" w:ascii="Arial" w:hAnsi="Arial" w:cs="Arial"/>
          <w:sz w:val="18"/>
          <w:szCs w:val="18"/>
        </w:rPr>
        <w:t>17.3.7 ensejar o retardamento da execução ou da entrega do objeto da licitação sem motivo justificado; 10% do valor do contrato;</w:t>
      </w:r>
    </w:p>
    <w:p w14:paraId="3643BE20">
      <w:pPr>
        <w:pStyle w:val="304"/>
        <w:spacing w:before="0" w:after="0" w:line="360" w:lineRule="auto"/>
        <w:ind w:left="0"/>
        <w:rPr>
          <w:rFonts w:hint="default" w:ascii="Arial" w:hAnsi="Arial" w:cs="Arial"/>
          <w:sz w:val="18"/>
          <w:szCs w:val="18"/>
        </w:rPr>
      </w:pPr>
      <w:r>
        <w:rPr>
          <w:rFonts w:hint="default" w:ascii="Arial" w:hAnsi="Arial" w:cs="Arial"/>
          <w:sz w:val="18"/>
          <w:szCs w:val="18"/>
        </w:rPr>
        <w:t>17.3.8 apresentar declaração ou documentação falsa exigida para o certame ou prestar declaração falsa durante a licitação ou a execução do contrato; 30% do valor do contrato;</w:t>
      </w:r>
    </w:p>
    <w:p w14:paraId="26D99730">
      <w:pPr>
        <w:pStyle w:val="304"/>
        <w:spacing w:before="0" w:after="0" w:line="360" w:lineRule="auto"/>
        <w:ind w:left="0"/>
        <w:rPr>
          <w:rFonts w:hint="default" w:ascii="Arial" w:hAnsi="Arial" w:cs="Arial"/>
          <w:sz w:val="18"/>
          <w:szCs w:val="18"/>
        </w:rPr>
      </w:pPr>
      <w:r>
        <w:rPr>
          <w:rFonts w:hint="default" w:ascii="Arial" w:hAnsi="Arial" w:cs="Arial"/>
          <w:sz w:val="18"/>
          <w:szCs w:val="18"/>
        </w:rPr>
        <w:t>17.3.9 fraudar a licitação ou praticar ato fraudulento na execução do contrato; 30% do valor do contrato;</w:t>
      </w:r>
    </w:p>
    <w:p w14:paraId="56A8B8FA">
      <w:pPr>
        <w:pStyle w:val="304"/>
        <w:spacing w:before="0" w:after="0" w:line="360" w:lineRule="auto"/>
        <w:ind w:left="0"/>
        <w:rPr>
          <w:rFonts w:hint="default" w:ascii="Arial" w:hAnsi="Arial" w:cs="Arial"/>
          <w:b/>
          <w:sz w:val="18"/>
          <w:szCs w:val="18"/>
        </w:rPr>
      </w:pPr>
      <w:r>
        <w:rPr>
          <w:rFonts w:hint="default" w:ascii="Arial" w:hAnsi="Arial" w:cs="Arial"/>
          <w:sz w:val="18"/>
          <w:szCs w:val="18"/>
        </w:rPr>
        <w:t xml:space="preserve">17.3.10 comportar-se de modo inidôneo ou cometer fraude de qualquer natureza; </w:t>
      </w:r>
      <w:r>
        <w:rPr>
          <w:rFonts w:hint="default" w:ascii="Arial" w:hAnsi="Arial" w:cs="Arial"/>
          <w:b/>
          <w:sz w:val="18"/>
          <w:szCs w:val="18"/>
        </w:rPr>
        <w:t>30% do valor    do contrato;</w:t>
      </w:r>
    </w:p>
    <w:p w14:paraId="432230D9">
      <w:pPr>
        <w:pStyle w:val="304"/>
        <w:spacing w:before="0" w:after="0" w:line="360" w:lineRule="auto"/>
        <w:ind w:left="0"/>
        <w:rPr>
          <w:rFonts w:hint="default" w:ascii="Arial" w:hAnsi="Arial" w:cs="Arial"/>
          <w:b/>
          <w:sz w:val="18"/>
          <w:szCs w:val="18"/>
        </w:rPr>
      </w:pPr>
      <w:r>
        <w:rPr>
          <w:rFonts w:hint="default" w:ascii="Arial" w:hAnsi="Arial" w:cs="Arial"/>
          <w:sz w:val="18"/>
          <w:szCs w:val="18"/>
        </w:rPr>
        <w:t xml:space="preserve">17.3.11 praticar atos ilícitos com vistas a frustrar os objetivos da licitação; </w:t>
      </w:r>
      <w:r>
        <w:rPr>
          <w:rFonts w:hint="default" w:ascii="Arial" w:hAnsi="Arial" w:cs="Arial"/>
          <w:b/>
          <w:sz w:val="18"/>
          <w:szCs w:val="18"/>
        </w:rPr>
        <w:t>30% do valor do contrato;</w:t>
      </w:r>
      <w:bookmarkStart w:id="28" w:name="art155viii"/>
      <w:bookmarkEnd w:id="28"/>
      <w:bookmarkStart w:id="29" w:name="art155ii"/>
      <w:bookmarkEnd w:id="29"/>
      <w:bookmarkStart w:id="30" w:name="art155vii"/>
      <w:bookmarkEnd w:id="30"/>
      <w:bookmarkStart w:id="31" w:name="art155iv"/>
      <w:bookmarkEnd w:id="31"/>
      <w:bookmarkStart w:id="32" w:name="art155x"/>
      <w:bookmarkEnd w:id="32"/>
      <w:bookmarkStart w:id="33" w:name="art155vi"/>
      <w:bookmarkEnd w:id="33"/>
      <w:bookmarkStart w:id="34" w:name="art155ix"/>
      <w:bookmarkEnd w:id="34"/>
      <w:bookmarkStart w:id="35" w:name="art155iii"/>
      <w:bookmarkEnd w:id="35"/>
      <w:bookmarkStart w:id="36" w:name="art155v"/>
      <w:bookmarkEnd w:id="36"/>
    </w:p>
    <w:p w14:paraId="00FFB063">
      <w:pPr>
        <w:pStyle w:val="304"/>
        <w:spacing w:before="0" w:after="0" w:line="360" w:lineRule="auto"/>
        <w:ind w:left="0"/>
        <w:rPr>
          <w:rFonts w:hint="default" w:ascii="Arial" w:hAnsi="Arial" w:cs="Arial"/>
          <w:sz w:val="18"/>
          <w:szCs w:val="18"/>
        </w:rPr>
      </w:pPr>
      <w:r>
        <w:rPr>
          <w:rFonts w:hint="default" w:ascii="Arial" w:hAnsi="Arial" w:cs="Arial"/>
          <w:sz w:val="18"/>
          <w:szCs w:val="18"/>
        </w:rPr>
        <w:t>17.3.12 praticar ato lesivo previsto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"https://www.planalto.gov.br/ccivil_03/_Ato2011-2014/2013/Lei/L12846.htm" \l "art5" </w:instrText>
      </w:r>
      <w:r>
        <w:rPr>
          <w:rFonts w:hint="default" w:ascii="Arial" w:hAnsi="Arial" w:cs="Arial"/>
          <w:sz w:val="18"/>
          <w:szCs w:val="18"/>
        </w:rPr>
        <w:fldChar w:fldCharType="separate"/>
      </w:r>
      <w:r>
        <w:rPr>
          <w:rStyle w:val="11"/>
          <w:rFonts w:hint="default" w:ascii="Arial" w:hAnsi="Arial" w:cs="Arial"/>
          <w:color w:val="auto"/>
          <w:sz w:val="18"/>
          <w:szCs w:val="18"/>
        </w:rPr>
        <w:t>art. 5º da Lei nº 12.846, de 1º de agosto de 2013.</w:t>
      </w:r>
      <w:r>
        <w:rPr>
          <w:rStyle w:val="11"/>
          <w:rFonts w:hint="default" w:ascii="Arial" w:hAnsi="Arial" w:cs="Arial"/>
          <w:color w:val="auto"/>
          <w:sz w:val="18"/>
          <w:szCs w:val="18"/>
        </w:rPr>
        <w:fldChar w:fldCharType="end"/>
      </w:r>
      <w:r>
        <w:rPr>
          <w:rFonts w:hint="default" w:ascii="Arial" w:hAnsi="Arial" w:cs="Arial"/>
          <w:sz w:val="18"/>
          <w:szCs w:val="18"/>
        </w:rPr>
        <w:t xml:space="preserve"> 30% do valor do contrato;</w:t>
      </w:r>
      <w:bookmarkEnd w:id="26"/>
      <w:bookmarkEnd w:id="27"/>
    </w:p>
    <w:p w14:paraId="7325AF76">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 A sanção prevista no item 17.3.2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"art155ii" </w:instrText>
      </w:r>
      <w:r>
        <w:rPr>
          <w:rFonts w:hint="default" w:ascii="Arial" w:hAnsi="Arial" w:cs="Arial"/>
          <w:sz w:val="18"/>
          <w:szCs w:val="18"/>
        </w:rPr>
        <w:fldChar w:fldCharType="separate"/>
      </w:r>
      <w:r>
        <w:rPr>
          <w:rStyle w:val="11"/>
          <w:rFonts w:hint="default" w:ascii="Arial" w:hAnsi="Arial" w:cs="Arial"/>
          <w:color w:val="auto"/>
          <w:sz w:val="18"/>
          <w:szCs w:val="18"/>
        </w:rPr>
        <w:t>incisos 17.3.1, 17.3.2, 17.3.3, 17.3.4, 17.3.5 e 17.3.6,</w:t>
      </w:r>
      <w:r>
        <w:rPr>
          <w:rStyle w:val="11"/>
          <w:rFonts w:hint="default" w:ascii="Arial" w:hAnsi="Arial" w:cs="Arial"/>
          <w:color w:val="auto"/>
          <w:sz w:val="18"/>
          <w:szCs w:val="18"/>
        </w:rPr>
        <w:fldChar w:fldCharType="end"/>
      </w:r>
      <w:r>
        <w:rPr>
          <w:rFonts w:hint="default" w:ascii="Arial" w:hAnsi="Arial" w:cs="Arial"/>
          <w:color w:val="auto"/>
          <w:sz w:val="18"/>
          <w:szCs w:val="18"/>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2ADCB01D">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17.4.1 A sanção prevista no item 17.3.4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"art155viii" </w:instrText>
      </w:r>
      <w:r>
        <w:rPr>
          <w:rFonts w:hint="default" w:ascii="Arial" w:hAnsi="Arial" w:cs="Arial"/>
          <w:sz w:val="18"/>
          <w:szCs w:val="18"/>
        </w:rPr>
        <w:fldChar w:fldCharType="separate"/>
      </w:r>
      <w:r>
        <w:rPr>
          <w:rStyle w:val="11"/>
          <w:rFonts w:hint="default" w:ascii="Arial" w:hAnsi="Arial" w:cs="Arial"/>
          <w:color w:val="auto"/>
          <w:sz w:val="18"/>
          <w:szCs w:val="18"/>
        </w:rPr>
        <w:t>incisos 17.3.8, 17.3.9, 17.3.10, 17.3.11 e 17.3.12 do </w:t>
      </w:r>
      <w:r>
        <w:rPr>
          <w:rStyle w:val="11"/>
          <w:rFonts w:hint="default" w:ascii="Arial" w:hAnsi="Arial" w:cs="Arial"/>
          <w:bCs/>
          <w:color w:val="auto"/>
          <w:sz w:val="18"/>
          <w:szCs w:val="18"/>
        </w:rPr>
        <w:t>caput</w:t>
      </w:r>
      <w:r>
        <w:rPr>
          <w:rStyle w:val="11"/>
          <w:rFonts w:hint="default" w:ascii="Arial" w:hAnsi="Arial" w:cs="Arial"/>
          <w:color w:val="auto"/>
          <w:sz w:val="18"/>
          <w:szCs w:val="18"/>
        </w:rPr>
        <w:t> do art. 155 da lei 14.133/21</w:t>
      </w:r>
      <w:r>
        <w:rPr>
          <w:rStyle w:val="11"/>
          <w:rFonts w:hint="default" w:ascii="Arial" w:hAnsi="Arial" w:cs="Arial"/>
          <w:color w:val="auto"/>
          <w:sz w:val="18"/>
          <w:szCs w:val="18"/>
        </w:rPr>
        <w:fldChar w:fldCharType="end"/>
      </w:r>
      <w:r>
        <w:rPr>
          <w:rFonts w:hint="default" w:ascii="Arial" w:hAnsi="Arial" w:cs="Arial"/>
          <w:color w:val="auto"/>
          <w:sz w:val="18"/>
          <w:szCs w:val="18"/>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372BC21">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17.4.2 A sanção estabelecida no item 17.3.4 será precedida de análise jurídica e observará as seguintes regras:</w:t>
      </w:r>
    </w:p>
    <w:p w14:paraId="0FC67C2C">
      <w:pPr>
        <w:pStyle w:val="304"/>
        <w:spacing w:before="0" w:after="0" w:line="360" w:lineRule="auto"/>
        <w:ind w:left="0"/>
        <w:rPr>
          <w:rFonts w:hint="default" w:ascii="Arial" w:hAnsi="Arial" w:cs="Arial"/>
          <w:b w:val="0"/>
          <w:sz w:val="18"/>
          <w:szCs w:val="18"/>
        </w:rPr>
      </w:pPr>
      <w:r>
        <w:rPr>
          <w:rFonts w:hint="default" w:ascii="Arial" w:hAnsi="Arial" w:cs="Arial"/>
          <w:color w:val="auto"/>
          <w:sz w:val="18"/>
          <w:szCs w:val="18"/>
        </w:rPr>
        <w:t xml:space="preserve">17.4.2.1 quando aplicada por órgão do Poder Executivo, será de competência da autoridade competente. </w:t>
      </w:r>
      <w:r>
        <w:rPr>
          <w:rFonts w:hint="default" w:ascii="Arial" w:hAnsi="Arial" w:cs="Arial"/>
          <w:b w:val="0"/>
          <w:sz w:val="18"/>
          <w:szCs w:val="18"/>
        </w:rPr>
        <w:t>17.4.2.2 As sanções previstas nos incisos I, III e IV do caput deste artigo poderão ser aplicadas cumulativamente com a prevista no inciso II do caput deste artigo.</w:t>
      </w:r>
    </w:p>
    <w:p w14:paraId="399BF9D3">
      <w:pPr>
        <w:pStyle w:val="304"/>
        <w:spacing w:before="0" w:after="0" w:line="360" w:lineRule="auto"/>
        <w:ind w:left="0"/>
        <w:rPr>
          <w:rFonts w:hint="default" w:ascii="Arial" w:hAnsi="Arial" w:cs="Arial"/>
          <w:b w:val="0"/>
          <w:sz w:val="18"/>
          <w:szCs w:val="18"/>
        </w:rPr>
      </w:pPr>
      <w:r>
        <w:rPr>
          <w:rFonts w:hint="default" w:ascii="Arial" w:hAnsi="Arial" w:cs="Arial"/>
          <w:b w:val="0"/>
          <w:sz w:val="18"/>
          <w:szCs w:val="18"/>
        </w:rPr>
        <w:t>17.4.2.3 Se a multa aplicada e as indenizações cabíveis forem superiores ao valor de pagamento eventualmente devido pela Administração ao contratado, além da perda desse valor, a diferença será descontada da garantia prestada ou será cobrada judicialmente.</w:t>
      </w:r>
      <w:bookmarkStart w:id="37" w:name="art156§7"/>
      <w:bookmarkEnd w:id="37"/>
      <w:bookmarkStart w:id="38" w:name="art156§4"/>
      <w:bookmarkEnd w:id="38"/>
      <w:bookmarkStart w:id="39" w:name="art156§5"/>
      <w:bookmarkEnd w:id="39"/>
      <w:bookmarkStart w:id="40" w:name="art156§6ii"/>
      <w:bookmarkEnd w:id="40"/>
      <w:bookmarkStart w:id="41" w:name="art156§6"/>
      <w:bookmarkEnd w:id="41"/>
      <w:bookmarkStart w:id="42" w:name="art156§3"/>
      <w:bookmarkEnd w:id="42"/>
    </w:p>
    <w:p w14:paraId="0E4919D1">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17.4.2.4 A aplicação das sanções previstas neste edital não exclui, em hipótese alguma, a obrigação de reparação integral dos danos causados ao Município.</w:t>
      </w:r>
    </w:p>
    <w:p w14:paraId="370D1F97">
      <w:pPr>
        <w:pStyle w:val="303"/>
        <w:spacing w:before="0" w:after="0" w:line="360" w:lineRule="auto"/>
        <w:rPr>
          <w:rFonts w:hint="default" w:ascii="Arial" w:hAnsi="Arial" w:cs="Arial"/>
          <w:color w:val="auto"/>
          <w:sz w:val="18"/>
          <w:szCs w:val="18"/>
        </w:rPr>
      </w:pPr>
      <w:r>
        <w:rPr>
          <w:rFonts w:hint="default" w:ascii="Arial" w:hAnsi="Arial" w:cs="Arial"/>
          <w:color w:val="auto"/>
          <w:sz w:val="18"/>
          <w:szCs w:val="18"/>
        </w:rPr>
        <w:t>17.5 As infrações e sanções deverão ser apuradas por uma comissão processante nomeada para as atribuições.</w:t>
      </w:r>
      <w:bookmarkStart w:id="43" w:name="_Toc122606112"/>
    </w:p>
    <w:p w14:paraId="4F4BC992">
      <w:pPr>
        <w:pStyle w:val="303"/>
        <w:spacing w:before="0" w:after="0" w:line="240" w:lineRule="auto"/>
        <w:rPr>
          <w:rFonts w:hint="default" w:ascii="Arial" w:hAnsi="Arial" w:cs="Arial"/>
          <w:color w:val="auto"/>
          <w:sz w:val="18"/>
          <w:szCs w:val="18"/>
        </w:rPr>
      </w:pPr>
    </w:p>
    <w:p w14:paraId="6DC978B9">
      <w:pPr>
        <w:pStyle w:val="303"/>
        <w:numPr>
          <w:ilvl w:val="0"/>
          <w:numId w:val="17"/>
        </w:numPr>
        <w:spacing w:before="0" w:after="0" w:line="360" w:lineRule="auto"/>
        <w:rPr>
          <w:rFonts w:hint="default" w:ascii="Arial" w:hAnsi="Arial" w:cs="Arial"/>
          <w:b/>
          <w:bCs/>
          <w:sz w:val="18"/>
          <w:szCs w:val="18"/>
        </w:rPr>
      </w:pPr>
      <w:r>
        <w:rPr>
          <w:rFonts w:hint="default" w:ascii="Arial" w:hAnsi="Arial" w:cs="Arial"/>
          <w:b/>
          <w:bCs/>
          <w:sz w:val="18"/>
          <w:szCs w:val="18"/>
        </w:rPr>
        <w:t>DA IMPUGNAÇÃO AO EDITAL E DO PEDIDO DE ESCLARECIMENTO</w:t>
      </w:r>
      <w:bookmarkEnd w:id="43"/>
    </w:p>
    <w:p w14:paraId="4639287C">
      <w:pPr>
        <w:pStyle w:val="303"/>
        <w:tabs>
          <w:tab w:val="left" w:pos="0"/>
        </w:tabs>
        <w:spacing w:before="0" w:after="0" w:line="360" w:lineRule="auto"/>
        <w:rPr>
          <w:rFonts w:hint="default" w:ascii="Arial" w:hAnsi="Arial" w:cs="Arial"/>
          <w:sz w:val="18"/>
          <w:szCs w:val="18"/>
        </w:rPr>
      </w:pPr>
      <w:r>
        <w:rPr>
          <w:rFonts w:hint="default" w:ascii="Arial" w:hAnsi="Arial" w:cs="Arial"/>
          <w:sz w:val="18"/>
          <w:szCs w:val="18"/>
        </w:rPr>
        <w:t xml:space="preserve">18.1 Qualquer pessoa é parte legítima para impugnar este Edital por irregularidade na aplicação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1"/>
          <w:rFonts w:hint="default" w:ascii="Arial" w:hAnsi="Arial" w:cs="Arial"/>
          <w:sz w:val="18"/>
          <w:szCs w:val="18"/>
        </w:rPr>
        <w:t>Lei nº 14.133, de 2021</w:t>
      </w:r>
      <w:r>
        <w:rPr>
          <w:rStyle w:val="11"/>
          <w:rFonts w:hint="default" w:ascii="Arial" w:hAnsi="Arial" w:cs="Arial"/>
          <w:sz w:val="18"/>
          <w:szCs w:val="18"/>
        </w:rPr>
        <w:fldChar w:fldCharType="end"/>
      </w:r>
      <w:r>
        <w:rPr>
          <w:rFonts w:hint="default" w:ascii="Arial" w:hAnsi="Arial" w:cs="Arial"/>
          <w:sz w:val="18"/>
          <w:szCs w:val="18"/>
        </w:rPr>
        <w:t>, devendo protocolar o pedido até 3 (três) dias úteis antes da data da abertura do certame.</w:t>
      </w:r>
    </w:p>
    <w:p w14:paraId="57096A3B">
      <w:pPr>
        <w:pStyle w:val="303"/>
        <w:tabs>
          <w:tab w:val="left" w:pos="426"/>
        </w:tabs>
        <w:spacing w:before="0" w:after="0" w:line="360" w:lineRule="auto"/>
        <w:rPr>
          <w:rFonts w:hint="default" w:ascii="Arial" w:hAnsi="Arial" w:cs="Arial"/>
          <w:sz w:val="18"/>
          <w:szCs w:val="18"/>
        </w:rPr>
      </w:pPr>
      <w:r>
        <w:rPr>
          <w:rFonts w:hint="default" w:ascii="Arial" w:hAnsi="Arial" w:cs="Arial"/>
          <w:sz w:val="18"/>
          <w:szCs w:val="18"/>
        </w:rPr>
        <w:t>18.2 A resposta à impugnação ou ao pedido de esclarecimento será divulgado em sítio eletrônico www.cataguases.mg.gov.br, no prazo de até 3 (três) dias úteis, limitado ao último dia útil anterior à data da abertura do certame.</w:t>
      </w:r>
    </w:p>
    <w:p w14:paraId="4009C70B">
      <w:pPr>
        <w:pStyle w:val="303"/>
        <w:tabs>
          <w:tab w:val="left" w:pos="426"/>
        </w:tabs>
        <w:spacing w:before="0" w:after="0" w:line="360" w:lineRule="auto"/>
        <w:rPr>
          <w:rFonts w:hint="default" w:ascii="Arial" w:hAnsi="Arial" w:cs="Arial"/>
          <w:color w:val="auto"/>
          <w:sz w:val="18"/>
          <w:szCs w:val="18"/>
        </w:rPr>
      </w:pPr>
      <w:r>
        <w:rPr>
          <w:rFonts w:hint="default" w:ascii="Arial" w:hAnsi="Arial" w:cs="Arial"/>
          <w:sz w:val="18"/>
          <w:szCs w:val="18"/>
        </w:rPr>
        <w:t xml:space="preserve">18.3 A impugnação e o pedido de esclarecimento poderão ser realizados por </w:t>
      </w:r>
      <w:r>
        <w:rPr>
          <w:rFonts w:hint="default" w:ascii="Arial" w:hAnsi="Arial" w:cs="Arial"/>
          <w:iCs/>
          <w:color w:val="auto"/>
          <w:sz w:val="18"/>
          <w:szCs w:val="18"/>
        </w:rPr>
        <w:t>meio de endereço eletrônico: pregaocataguases@gmail.com</w:t>
      </w:r>
    </w:p>
    <w:p w14:paraId="026D76B6">
      <w:pPr>
        <w:pStyle w:val="303"/>
        <w:tabs>
          <w:tab w:val="left" w:pos="567"/>
        </w:tabs>
        <w:spacing w:before="0" w:after="0" w:line="360" w:lineRule="auto"/>
        <w:rPr>
          <w:rFonts w:hint="default" w:ascii="Arial" w:hAnsi="Arial" w:cs="Arial"/>
          <w:sz w:val="18"/>
          <w:szCs w:val="18"/>
        </w:rPr>
      </w:pPr>
      <w:r>
        <w:rPr>
          <w:rFonts w:hint="default" w:ascii="Arial" w:hAnsi="Arial" w:cs="Arial"/>
          <w:sz w:val="18"/>
          <w:szCs w:val="18"/>
        </w:rPr>
        <w:t>18.4 As impugnações e pedidos de esclarecimentos não suspendem os prazos previstos no certame.</w:t>
      </w:r>
    </w:p>
    <w:p w14:paraId="52B44DF4">
      <w:pPr>
        <w:pStyle w:val="304"/>
        <w:spacing w:before="0" w:after="0" w:line="360" w:lineRule="auto"/>
        <w:ind w:left="0"/>
        <w:rPr>
          <w:rFonts w:hint="default" w:ascii="Arial" w:hAnsi="Arial" w:cs="Arial"/>
          <w:sz w:val="18"/>
          <w:szCs w:val="18"/>
        </w:rPr>
      </w:pPr>
      <w:r>
        <w:rPr>
          <w:rFonts w:hint="default" w:ascii="Arial" w:hAnsi="Arial" w:cs="Arial"/>
          <w:sz w:val="18"/>
          <w:szCs w:val="18"/>
        </w:rPr>
        <w:t>18.5 A concessão de efeito suspensivo à impugnação é medida excepcional e deverá ser motivada pelo agente de contratação, nos autos do processo de licitação.</w:t>
      </w:r>
    </w:p>
    <w:p w14:paraId="5BE9A2E1">
      <w:pPr>
        <w:pStyle w:val="303"/>
        <w:tabs>
          <w:tab w:val="left" w:pos="426"/>
        </w:tabs>
        <w:spacing w:before="0" w:after="0" w:line="360" w:lineRule="auto"/>
        <w:rPr>
          <w:rFonts w:hint="default" w:ascii="Arial" w:hAnsi="Arial" w:cs="Arial"/>
          <w:sz w:val="18"/>
          <w:szCs w:val="18"/>
        </w:rPr>
      </w:pPr>
      <w:r>
        <w:rPr>
          <w:rFonts w:hint="default" w:ascii="Arial" w:hAnsi="Arial" w:cs="Arial"/>
          <w:sz w:val="18"/>
          <w:szCs w:val="18"/>
        </w:rPr>
        <w:t>18.6 Acolhida a impugnação, será definida e publicada nova data para a realização do certame.</w:t>
      </w:r>
    </w:p>
    <w:p w14:paraId="74A0DA1C">
      <w:pPr>
        <w:pStyle w:val="278"/>
        <w:numPr>
          <w:ilvl w:val="0"/>
          <w:numId w:val="0"/>
        </w:numPr>
        <w:spacing w:before="0"/>
        <w:rPr>
          <w:rFonts w:hint="default" w:ascii="Arial" w:hAnsi="Arial" w:cs="Arial"/>
          <w:sz w:val="18"/>
          <w:szCs w:val="18"/>
        </w:rPr>
      </w:pPr>
      <w:bookmarkStart w:id="44" w:name="_Toc135469236"/>
    </w:p>
    <w:p w14:paraId="4FD99627">
      <w:pPr>
        <w:pStyle w:val="278"/>
        <w:numPr>
          <w:ilvl w:val="0"/>
          <w:numId w:val="0"/>
        </w:numPr>
        <w:spacing w:before="0" w:line="360" w:lineRule="auto"/>
        <w:rPr>
          <w:rFonts w:hint="default" w:ascii="Arial" w:hAnsi="Arial" w:cs="Arial"/>
          <w:sz w:val="18"/>
          <w:szCs w:val="18"/>
        </w:rPr>
      </w:pPr>
      <w:r>
        <w:rPr>
          <w:rFonts w:hint="default" w:ascii="Arial" w:hAnsi="Arial" w:cs="Arial"/>
          <w:sz w:val="18"/>
          <w:szCs w:val="18"/>
        </w:rPr>
        <w:t>19. DAS DISPOSIÇÕES GERAIS</w:t>
      </w:r>
      <w:bookmarkEnd w:id="44"/>
    </w:p>
    <w:p w14:paraId="6B457B6D">
      <w:pPr>
        <w:pStyle w:val="303"/>
        <w:spacing w:before="0" w:after="0" w:line="360" w:lineRule="auto"/>
        <w:rPr>
          <w:rFonts w:hint="default" w:ascii="Arial" w:hAnsi="Arial" w:cs="Arial"/>
          <w:sz w:val="18"/>
          <w:szCs w:val="18"/>
        </w:rPr>
      </w:pPr>
      <w:r>
        <w:rPr>
          <w:rFonts w:hint="default" w:ascii="Arial" w:hAnsi="Arial" w:cs="Arial"/>
          <w:sz w:val="18"/>
          <w:szCs w:val="18"/>
          <w:lang w:eastAsia="ar-SA"/>
        </w:rPr>
        <w:t>19.1</w:t>
      </w:r>
      <w:r>
        <w:rPr>
          <w:rFonts w:hint="default" w:ascii="Arial" w:hAnsi="Arial" w:cs="Arial"/>
          <w:sz w:val="18"/>
          <w:szCs w:val="18"/>
        </w:rPr>
        <w:t xml:space="preserve"> Será divulgada ata da sessão pública no sistema eletrônico.</w:t>
      </w:r>
    </w:p>
    <w:p w14:paraId="2FB594BD">
      <w:pPr>
        <w:pStyle w:val="303"/>
        <w:spacing w:before="0" w:after="0" w:line="360" w:lineRule="auto"/>
        <w:rPr>
          <w:rFonts w:hint="default" w:ascii="Arial" w:hAnsi="Arial" w:cs="Arial"/>
          <w:sz w:val="18"/>
          <w:szCs w:val="18"/>
        </w:rPr>
      </w:pPr>
      <w:r>
        <w:rPr>
          <w:rFonts w:hint="default" w:ascii="Arial" w:hAnsi="Arial" w:cs="Arial"/>
          <w:sz w:val="18"/>
          <w:szCs w:val="18"/>
        </w:rPr>
        <w:t>19.2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CE2FEDA">
      <w:pPr>
        <w:pStyle w:val="303"/>
        <w:spacing w:before="0" w:after="0" w:line="360" w:lineRule="auto"/>
        <w:rPr>
          <w:rFonts w:hint="default" w:ascii="Arial" w:hAnsi="Arial" w:cs="Arial"/>
          <w:sz w:val="18"/>
          <w:szCs w:val="18"/>
        </w:rPr>
      </w:pPr>
      <w:r>
        <w:rPr>
          <w:rFonts w:hint="default" w:ascii="Arial" w:hAnsi="Arial" w:cs="Arial"/>
          <w:sz w:val="18"/>
          <w:szCs w:val="18"/>
        </w:rPr>
        <w:t>19.2 Todas as referências de tempo no Edital, no aviso e durante a sessão pública observarão o horário de Brasília - DF.</w:t>
      </w:r>
    </w:p>
    <w:p w14:paraId="2B368B1A">
      <w:pPr>
        <w:pStyle w:val="303"/>
        <w:spacing w:before="0" w:after="0" w:line="360" w:lineRule="auto"/>
        <w:rPr>
          <w:rFonts w:hint="default" w:ascii="Arial" w:hAnsi="Arial" w:cs="Arial"/>
          <w:sz w:val="18"/>
          <w:szCs w:val="18"/>
        </w:rPr>
      </w:pPr>
      <w:r>
        <w:rPr>
          <w:rFonts w:hint="default" w:ascii="Arial" w:hAnsi="Arial" w:cs="Arial"/>
          <w:sz w:val="18"/>
          <w:szCs w:val="18"/>
        </w:rPr>
        <w:t>19.3 A homologação do resultado desta licitação não implicará direito à contratação.</w:t>
      </w:r>
    </w:p>
    <w:p w14:paraId="1F4A37D3">
      <w:pPr>
        <w:pStyle w:val="303"/>
        <w:spacing w:before="0" w:after="0" w:line="360" w:lineRule="auto"/>
        <w:rPr>
          <w:rFonts w:hint="default" w:ascii="Arial" w:hAnsi="Arial" w:cs="Arial"/>
          <w:sz w:val="18"/>
          <w:szCs w:val="18"/>
        </w:rPr>
      </w:pPr>
      <w:r>
        <w:rPr>
          <w:rFonts w:hint="default" w:ascii="Arial" w:hAnsi="Arial" w:cs="Arial"/>
          <w:sz w:val="18"/>
          <w:szCs w:val="18"/>
        </w:rPr>
        <w:t xml:space="preserve">19.4 As normas disciplinadoras da licitação serão sempre interpretadas em favor da ampliação da disputa entre os interessados, desde que não comprometam o interesse da Administração, o princípio da isonomia, a finalidade e a segurança da contratação. </w:t>
      </w:r>
    </w:p>
    <w:p w14:paraId="45A3C214">
      <w:pPr>
        <w:pStyle w:val="303"/>
        <w:spacing w:before="0" w:after="0" w:line="360" w:lineRule="auto"/>
        <w:rPr>
          <w:rFonts w:hint="default" w:ascii="Arial" w:hAnsi="Arial" w:cs="Arial"/>
          <w:sz w:val="18"/>
          <w:szCs w:val="18"/>
        </w:rPr>
      </w:pPr>
      <w:r>
        <w:rPr>
          <w:rFonts w:hint="default" w:ascii="Arial" w:hAnsi="Arial" w:cs="Arial"/>
          <w:sz w:val="18"/>
          <w:szCs w:val="18"/>
        </w:rPr>
        <w:t>19.5 Os licitantes assumem todos os custos de preparação e apresentação de suas propostas e a Administração não será, em nenhum caso, responsável por esses custos, independentemente da condução ou do resultado do processo licitatório.</w:t>
      </w:r>
    </w:p>
    <w:p w14:paraId="3CA6BBFF">
      <w:pPr>
        <w:pStyle w:val="303"/>
        <w:spacing w:before="0" w:after="0" w:line="360" w:lineRule="auto"/>
        <w:rPr>
          <w:rFonts w:hint="default" w:ascii="Arial" w:hAnsi="Arial" w:cs="Arial"/>
          <w:sz w:val="18"/>
          <w:szCs w:val="18"/>
        </w:rPr>
      </w:pPr>
      <w:r>
        <w:rPr>
          <w:rFonts w:hint="default" w:ascii="Arial" w:hAnsi="Arial" w:cs="Arial"/>
          <w:sz w:val="18"/>
          <w:szCs w:val="18"/>
        </w:rPr>
        <w:t>19.6 Na contagem dos prazos estabelecidos neste Edital e seus Anexos, excluir-se-á o dia do início e incluir-se-á o do vencimento. Só se iniciam e vencem os prazos em dias de expediente na Administração.</w:t>
      </w:r>
    </w:p>
    <w:p w14:paraId="4E003B07">
      <w:pPr>
        <w:pStyle w:val="303"/>
        <w:spacing w:before="0" w:after="0" w:line="360" w:lineRule="auto"/>
        <w:rPr>
          <w:rFonts w:hint="default" w:ascii="Arial" w:hAnsi="Arial" w:cs="Arial"/>
          <w:sz w:val="18"/>
          <w:szCs w:val="18"/>
        </w:rPr>
      </w:pPr>
      <w:r>
        <w:rPr>
          <w:rFonts w:hint="default" w:ascii="Arial" w:hAnsi="Arial" w:cs="Arial"/>
          <w:sz w:val="18"/>
          <w:szCs w:val="18"/>
        </w:rPr>
        <w:t>19.7 O desatendimento de exigências formais não essenciais não importará o afastamento do licitante, desde que seja possível o aproveitamento do ato, observados os princípios da isonomia e do interesse público.</w:t>
      </w:r>
    </w:p>
    <w:p w14:paraId="47D97C24">
      <w:pPr>
        <w:pStyle w:val="303"/>
        <w:spacing w:before="0" w:after="0" w:line="360" w:lineRule="auto"/>
        <w:rPr>
          <w:rFonts w:hint="default" w:ascii="Arial" w:hAnsi="Arial" w:eastAsia="Times New Roman" w:cs="Arial"/>
          <w:sz w:val="18"/>
          <w:szCs w:val="18"/>
        </w:rPr>
      </w:pPr>
      <w:r>
        <w:rPr>
          <w:rFonts w:hint="default" w:ascii="Arial" w:hAnsi="Arial" w:cs="Arial"/>
          <w:sz w:val="18"/>
          <w:szCs w:val="18"/>
        </w:rPr>
        <w:t>19.8 Em caso de divergência entre disposições deste Edital e de seus anexos ou demais peças que compõem o processo, prevalecerá as deste Edital.</w:t>
      </w:r>
    </w:p>
    <w:p w14:paraId="4801B33B">
      <w:pPr>
        <w:pStyle w:val="303"/>
        <w:spacing w:before="0" w:after="0" w:line="360" w:lineRule="auto"/>
        <w:rPr>
          <w:rFonts w:hint="default" w:ascii="Arial" w:hAnsi="Arial" w:eastAsia="Times New Roman" w:cs="Arial"/>
          <w:sz w:val="18"/>
          <w:szCs w:val="18"/>
        </w:rPr>
      </w:pPr>
      <w:r>
        <w:rPr>
          <w:rFonts w:hint="default" w:ascii="Arial" w:hAnsi="Arial" w:cs="Arial"/>
          <w:sz w:val="18"/>
          <w:szCs w:val="18"/>
        </w:rPr>
        <w:t xml:space="preserve">19.9 O Edital e seus anexos estão disponíveis, na íntegra, no Portal Nacional de Contratações Públicas (PNCP) e endereço eletrônico </w:t>
      </w:r>
      <w:r>
        <w:rPr>
          <w:rFonts w:hint="default" w:ascii="Arial" w:hAnsi="Arial" w:cs="Arial"/>
          <w:sz w:val="18"/>
          <w:szCs w:val="18"/>
        </w:rPr>
        <w:fldChar w:fldCharType="begin"/>
      </w:r>
      <w:r>
        <w:rPr>
          <w:rFonts w:hint="default" w:ascii="Arial" w:hAnsi="Arial" w:cs="Arial"/>
          <w:sz w:val="18"/>
          <w:szCs w:val="18"/>
        </w:rPr>
        <w:instrText xml:space="preserve"> HYPERLINK "http://www.compras.gov.br" </w:instrText>
      </w:r>
      <w:r>
        <w:rPr>
          <w:rFonts w:hint="default" w:ascii="Arial" w:hAnsi="Arial" w:cs="Arial"/>
          <w:sz w:val="18"/>
          <w:szCs w:val="18"/>
        </w:rPr>
        <w:fldChar w:fldCharType="separate"/>
      </w:r>
      <w:r>
        <w:rPr>
          <w:rStyle w:val="11"/>
          <w:rFonts w:hint="default" w:ascii="Arial" w:hAnsi="Arial" w:cs="Arial"/>
          <w:sz w:val="18"/>
          <w:szCs w:val="18"/>
        </w:rPr>
        <w:t>www.compras.gov.br</w:t>
      </w:r>
      <w:r>
        <w:rPr>
          <w:rStyle w:val="11"/>
          <w:rFonts w:hint="default" w:ascii="Arial" w:hAnsi="Arial" w:cs="Arial"/>
          <w:sz w:val="18"/>
          <w:szCs w:val="18"/>
        </w:rPr>
        <w:fldChar w:fldCharType="end"/>
      </w:r>
      <w:r>
        <w:rPr>
          <w:rFonts w:hint="default" w:ascii="Arial" w:hAnsi="Arial" w:cs="Arial"/>
          <w:sz w:val="18"/>
          <w:szCs w:val="18"/>
        </w:rPr>
        <w:t xml:space="preserve"> e www.cataguases.mg.gov.br</w:t>
      </w:r>
    </w:p>
    <w:p w14:paraId="1F3CCAB2">
      <w:pPr>
        <w:pStyle w:val="303"/>
        <w:spacing w:before="0" w:after="0" w:line="360" w:lineRule="auto"/>
        <w:rPr>
          <w:rFonts w:hint="default" w:ascii="Arial" w:hAnsi="Arial" w:eastAsia="Times New Roman" w:cs="Arial"/>
          <w:sz w:val="18"/>
          <w:szCs w:val="18"/>
        </w:rPr>
      </w:pPr>
      <w:r>
        <w:rPr>
          <w:rFonts w:hint="default" w:ascii="Arial" w:hAnsi="Arial" w:cs="Arial"/>
          <w:sz w:val="18"/>
          <w:szCs w:val="18"/>
        </w:rPr>
        <w:t>19.10 Integram este Edital, para todos os fins e efeitos, os seguintes anexos:</w:t>
      </w:r>
    </w:p>
    <w:p w14:paraId="476AD132">
      <w:pPr>
        <w:pStyle w:val="304"/>
        <w:spacing w:before="0" w:after="0" w:line="360" w:lineRule="auto"/>
        <w:ind w:left="0"/>
        <w:rPr>
          <w:rFonts w:hint="default" w:ascii="Arial" w:hAnsi="Arial" w:cs="Arial"/>
          <w:sz w:val="18"/>
          <w:szCs w:val="18"/>
        </w:rPr>
      </w:pPr>
      <w:bookmarkStart w:id="45" w:name="_Hlk158877578"/>
      <w:r>
        <w:rPr>
          <w:rFonts w:hint="default" w:ascii="Arial" w:hAnsi="Arial" w:cs="Arial"/>
          <w:sz w:val="18"/>
          <w:szCs w:val="18"/>
        </w:rPr>
        <w:t>Anexo I - Termo de Referência</w:t>
      </w:r>
    </w:p>
    <w:p w14:paraId="1F86471F">
      <w:pPr>
        <w:pStyle w:val="305"/>
        <w:spacing w:before="0" w:after="0" w:line="360" w:lineRule="auto"/>
        <w:ind w:left="0"/>
        <w:rPr>
          <w:rFonts w:hint="default" w:ascii="Arial" w:hAnsi="Arial" w:cs="Arial"/>
          <w:sz w:val="18"/>
          <w:szCs w:val="18"/>
        </w:rPr>
      </w:pPr>
      <w:r>
        <w:rPr>
          <w:rFonts w:hint="default" w:ascii="Arial" w:hAnsi="Arial" w:cs="Arial"/>
          <w:sz w:val="18"/>
          <w:szCs w:val="18"/>
        </w:rPr>
        <w:t>Anexo II - Modelo de proposta de preços;</w:t>
      </w:r>
    </w:p>
    <w:p w14:paraId="3EAC10D8">
      <w:pPr>
        <w:pStyle w:val="304"/>
        <w:spacing w:before="0" w:after="0" w:line="360" w:lineRule="auto"/>
        <w:ind w:left="0"/>
        <w:rPr>
          <w:rFonts w:hint="default" w:ascii="Arial" w:hAnsi="Arial" w:cs="Arial"/>
          <w:sz w:val="18"/>
          <w:szCs w:val="18"/>
        </w:rPr>
      </w:pPr>
      <w:r>
        <w:rPr>
          <w:rFonts w:hint="default" w:ascii="Arial" w:hAnsi="Arial" w:cs="Arial"/>
          <w:sz w:val="18"/>
          <w:szCs w:val="18"/>
        </w:rPr>
        <w:t>Anexo III – Minuta de Termo de Contrato/Ata de registro de preços</w:t>
      </w:r>
    </w:p>
    <w:p w14:paraId="0AF416FA">
      <w:pPr>
        <w:pStyle w:val="304"/>
        <w:spacing w:before="0" w:after="0" w:line="360" w:lineRule="auto"/>
        <w:ind w:left="0"/>
        <w:rPr>
          <w:rFonts w:hint="default" w:ascii="Arial" w:hAnsi="Arial" w:cs="Arial"/>
          <w:sz w:val="18"/>
          <w:szCs w:val="18"/>
        </w:rPr>
      </w:pPr>
      <w:r>
        <w:rPr>
          <w:rFonts w:hint="default" w:ascii="Arial" w:hAnsi="Arial" w:cs="Arial"/>
          <w:sz w:val="18"/>
          <w:szCs w:val="18"/>
        </w:rPr>
        <w:t>Anexo IV - MODELO DE DECLARAÇÃO REQUISITOS DE HABILITAÇÃO</w:t>
      </w:r>
    </w:p>
    <w:p w14:paraId="0E2A389F">
      <w:pPr>
        <w:pStyle w:val="304"/>
        <w:spacing w:before="0" w:after="0" w:line="360" w:lineRule="auto"/>
        <w:ind w:left="0"/>
        <w:rPr>
          <w:rFonts w:hint="default" w:ascii="Arial" w:hAnsi="Arial" w:cs="Arial"/>
          <w:sz w:val="18"/>
          <w:szCs w:val="18"/>
        </w:rPr>
      </w:pPr>
      <w:r>
        <w:rPr>
          <w:rFonts w:hint="default" w:ascii="Arial" w:hAnsi="Arial" w:cs="Arial"/>
          <w:sz w:val="18"/>
          <w:szCs w:val="18"/>
        </w:rPr>
        <w:t>Anexo V - MODELO DE DECLARAÇÃO RESERVA DE CARGO</w:t>
      </w:r>
    </w:p>
    <w:p w14:paraId="125C4911">
      <w:pPr>
        <w:pStyle w:val="304"/>
        <w:spacing w:before="0" w:after="0" w:line="360" w:lineRule="auto"/>
        <w:ind w:left="0"/>
        <w:rPr>
          <w:rFonts w:hint="default" w:ascii="Arial" w:hAnsi="Arial" w:cs="Arial"/>
          <w:sz w:val="18"/>
          <w:szCs w:val="18"/>
        </w:rPr>
      </w:pPr>
      <w:r>
        <w:rPr>
          <w:rFonts w:hint="default" w:ascii="Arial" w:hAnsi="Arial" w:cs="Arial"/>
          <w:sz w:val="18"/>
          <w:szCs w:val="18"/>
        </w:rPr>
        <w:t>Anexo VI - MODELO DE DECLARAÇÃO ATENDIMENTO DE DIREITOS TRABALHISTAS</w:t>
      </w:r>
    </w:p>
    <w:p w14:paraId="7E5D469A">
      <w:pPr>
        <w:pStyle w:val="304"/>
        <w:spacing w:before="0" w:after="0" w:line="360" w:lineRule="auto"/>
        <w:ind w:left="0"/>
        <w:rPr>
          <w:rFonts w:hint="default" w:ascii="Arial" w:hAnsi="Arial" w:cs="Arial"/>
          <w:sz w:val="18"/>
          <w:szCs w:val="18"/>
        </w:rPr>
      </w:pPr>
      <w:r>
        <w:rPr>
          <w:rFonts w:hint="default" w:ascii="Arial" w:hAnsi="Arial" w:cs="Arial"/>
          <w:sz w:val="18"/>
          <w:szCs w:val="18"/>
        </w:rPr>
        <w:t>Anexo VII - MODELO DE DECLARAÇÃO SERVIDOR PUBLICO</w:t>
      </w:r>
    </w:p>
    <w:p w14:paraId="01C63B90">
      <w:pPr>
        <w:pStyle w:val="304"/>
        <w:spacing w:before="0" w:after="0" w:line="360" w:lineRule="auto"/>
        <w:ind w:left="0"/>
        <w:rPr>
          <w:rFonts w:hint="default" w:ascii="Arial" w:hAnsi="Arial" w:cs="Arial"/>
          <w:sz w:val="18"/>
          <w:szCs w:val="18"/>
        </w:rPr>
      </w:pPr>
      <w:r>
        <w:rPr>
          <w:rFonts w:hint="default" w:ascii="Arial" w:hAnsi="Arial" w:cs="Arial"/>
          <w:sz w:val="18"/>
          <w:szCs w:val="18"/>
        </w:rPr>
        <w:t>Anexo VIII - MODELO DE DECLARAÇÃO VÍNCULO DE NATUREZA ECONOMICA</w:t>
      </w:r>
    </w:p>
    <w:p w14:paraId="72F346F4">
      <w:pPr>
        <w:pStyle w:val="304"/>
        <w:spacing w:before="0" w:after="0" w:line="360" w:lineRule="auto"/>
        <w:ind w:left="0"/>
        <w:rPr>
          <w:rFonts w:hint="default" w:ascii="Arial" w:hAnsi="Arial" w:cs="Arial"/>
          <w:sz w:val="18"/>
          <w:szCs w:val="18"/>
        </w:rPr>
      </w:pPr>
      <w:r>
        <w:rPr>
          <w:rFonts w:hint="default" w:ascii="Arial" w:hAnsi="Arial" w:cs="Arial"/>
          <w:sz w:val="18"/>
          <w:szCs w:val="18"/>
        </w:rPr>
        <w:t>Anexo IX - MODELO DE DECLARAÇÃO CONDENAÇÃO DE 05 CINCO ANOS.</w:t>
      </w:r>
    </w:p>
    <w:p w14:paraId="1EEF11D4">
      <w:pPr>
        <w:pStyle w:val="304"/>
        <w:spacing w:before="0" w:after="0" w:line="360" w:lineRule="auto"/>
        <w:ind w:left="0"/>
        <w:rPr>
          <w:rFonts w:hint="default" w:ascii="Arial" w:hAnsi="Arial" w:cs="Arial"/>
          <w:sz w:val="18"/>
          <w:szCs w:val="18"/>
        </w:rPr>
      </w:pPr>
      <w:r>
        <w:rPr>
          <w:rFonts w:hint="default" w:ascii="Arial" w:hAnsi="Arial" w:cs="Arial"/>
          <w:sz w:val="18"/>
          <w:szCs w:val="18"/>
        </w:rPr>
        <w:t>Anexo X - MODELO DE DECLARAÇÃO SANÇÕES VIGENTES</w:t>
      </w:r>
    </w:p>
    <w:p w14:paraId="3682AD7A">
      <w:pPr>
        <w:pStyle w:val="304"/>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XI - MODELO DE DECLARAÇÃO </w:t>
      </w:r>
      <w:r>
        <w:rPr>
          <w:rFonts w:hint="default" w:ascii="Arial" w:hAnsi="Arial" w:cs="Arial"/>
          <w:sz w:val="18"/>
          <w:szCs w:val="18"/>
          <w:lang w:val="pt-BR"/>
        </w:rPr>
        <w:t>NÃO EMPREGA MENOR</w:t>
      </w:r>
    </w:p>
    <w:bookmarkEnd w:id="45"/>
    <w:p w14:paraId="7A8C89F5">
      <w:pPr>
        <w:pStyle w:val="304"/>
        <w:spacing w:before="0" w:after="0" w:line="360" w:lineRule="auto"/>
        <w:ind w:left="0"/>
        <w:rPr>
          <w:rFonts w:hint="default" w:ascii="Arial" w:hAnsi="Arial" w:cs="Arial"/>
          <w:sz w:val="18"/>
          <w:szCs w:val="18"/>
          <w:lang w:val="pt-BR"/>
        </w:rPr>
      </w:pPr>
      <w:r>
        <w:rPr>
          <w:rFonts w:hint="default" w:ascii="Arial" w:hAnsi="Arial" w:cs="Arial"/>
          <w:sz w:val="18"/>
          <w:szCs w:val="18"/>
          <w:lang w:val="pt-BR"/>
        </w:rPr>
        <w:t>Anexo XII - MODELO DE ENQUADRAMENTO DE ME/EPP/EQUIPARADAS</w:t>
      </w:r>
    </w:p>
    <w:p w14:paraId="69EC2EDB">
      <w:pPr>
        <w:pStyle w:val="304"/>
        <w:spacing w:before="0" w:after="0" w:line="360" w:lineRule="auto"/>
        <w:ind w:left="0"/>
        <w:rPr>
          <w:rFonts w:hint="default" w:ascii="Arial" w:hAnsi="Arial" w:cs="Arial"/>
          <w:sz w:val="18"/>
          <w:szCs w:val="18"/>
        </w:rPr>
      </w:pPr>
      <w:r>
        <w:rPr>
          <w:rFonts w:hint="default" w:ascii="Arial" w:hAnsi="Arial" w:cs="Arial"/>
          <w:sz w:val="18"/>
          <w:szCs w:val="18"/>
        </w:rPr>
        <w:t>Anexo XII</w:t>
      </w:r>
      <w:r>
        <w:rPr>
          <w:rFonts w:hint="default" w:ascii="Arial" w:hAnsi="Arial" w:cs="Arial"/>
          <w:sz w:val="18"/>
          <w:szCs w:val="18"/>
          <w:lang w:val="pt-BR"/>
        </w:rPr>
        <w:t>I</w:t>
      </w:r>
      <w:r>
        <w:rPr>
          <w:rFonts w:hint="default" w:ascii="Arial" w:hAnsi="Arial" w:cs="Arial"/>
          <w:sz w:val="18"/>
          <w:szCs w:val="18"/>
        </w:rPr>
        <w:t xml:space="preserve"> </w:t>
      </w:r>
      <w:r>
        <w:rPr>
          <w:rFonts w:hint="default" w:ascii="Arial" w:hAnsi="Arial" w:cs="Arial"/>
          <w:sz w:val="18"/>
          <w:szCs w:val="18"/>
          <w:lang w:val="pt-BR"/>
        </w:rPr>
        <w:t xml:space="preserve">- </w:t>
      </w:r>
      <w:r>
        <w:rPr>
          <w:rFonts w:hint="default" w:ascii="Arial" w:hAnsi="Arial" w:cs="Arial"/>
          <w:sz w:val="18"/>
          <w:szCs w:val="18"/>
        </w:rPr>
        <w:t>Cotação de preços/Mapa analítico</w:t>
      </w:r>
    </w:p>
    <w:p w14:paraId="7EF22980">
      <w:pPr>
        <w:pStyle w:val="304"/>
        <w:spacing w:before="0" w:after="0" w:line="360" w:lineRule="auto"/>
        <w:ind w:left="0"/>
        <w:rPr>
          <w:rFonts w:hint="default" w:ascii="Arial" w:hAnsi="Arial" w:cs="Arial"/>
          <w:sz w:val="18"/>
          <w:szCs w:val="18"/>
        </w:rPr>
      </w:pPr>
      <w:r>
        <w:rPr>
          <w:rFonts w:hint="default" w:ascii="Arial" w:hAnsi="Arial" w:cs="Arial"/>
          <w:sz w:val="18"/>
          <w:szCs w:val="18"/>
        </w:rPr>
        <w:t>Anexo XI</w:t>
      </w:r>
      <w:r>
        <w:rPr>
          <w:rFonts w:hint="default" w:ascii="Arial" w:hAnsi="Arial" w:cs="Arial"/>
          <w:sz w:val="18"/>
          <w:szCs w:val="18"/>
          <w:lang w:val="pt-BR"/>
        </w:rPr>
        <w:t>V</w:t>
      </w:r>
      <w:r>
        <w:rPr>
          <w:rFonts w:hint="default" w:ascii="Arial" w:hAnsi="Arial" w:cs="Arial"/>
          <w:sz w:val="18"/>
          <w:szCs w:val="18"/>
        </w:rPr>
        <w:t xml:space="preserve"> - Estudo técnico preliminar (ETP)</w:t>
      </w:r>
    </w:p>
    <w:p w14:paraId="6A45CE95">
      <w:pPr>
        <w:pStyle w:val="304"/>
        <w:spacing w:before="0" w:after="0" w:line="360" w:lineRule="auto"/>
        <w:ind w:left="0"/>
        <w:rPr>
          <w:rFonts w:hint="default" w:ascii="Arial" w:hAnsi="Arial" w:cs="Arial"/>
          <w:sz w:val="18"/>
          <w:szCs w:val="18"/>
        </w:rPr>
      </w:pPr>
      <w:r>
        <w:rPr>
          <w:rFonts w:hint="default" w:ascii="Arial" w:hAnsi="Arial" w:cs="Arial"/>
          <w:sz w:val="18"/>
          <w:szCs w:val="18"/>
        </w:rPr>
        <w:t>Anexo X</w:t>
      </w:r>
      <w:r>
        <w:rPr>
          <w:rFonts w:hint="default" w:ascii="Arial" w:hAnsi="Arial" w:cs="Arial"/>
          <w:sz w:val="18"/>
          <w:szCs w:val="18"/>
          <w:lang w:val="pt-BR"/>
        </w:rPr>
        <w:t>V</w:t>
      </w:r>
      <w:r>
        <w:rPr>
          <w:rFonts w:hint="default" w:ascii="Arial" w:hAnsi="Arial" w:cs="Arial"/>
          <w:sz w:val="18"/>
          <w:szCs w:val="18"/>
        </w:rPr>
        <w:t xml:space="preserve"> - Decreto 5.811/2023 (IR)</w:t>
      </w:r>
    </w:p>
    <w:p w14:paraId="6B1E8229">
      <w:pPr>
        <w:pStyle w:val="304"/>
        <w:spacing w:before="0" w:after="0" w:line="360" w:lineRule="auto"/>
        <w:ind w:left="0"/>
        <w:rPr>
          <w:rFonts w:hint="default" w:ascii="Arial" w:hAnsi="Arial" w:cs="Arial"/>
          <w:sz w:val="18"/>
          <w:szCs w:val="18"/>
        </w:rPr>
      </w:pPr>
      <w:r>
        <w:rPr>
          <w:rFonts w:hint="default" w:ascii="Arial" w:hAnsi="Arial" w:cs="Arial"/>
          <w:sz w:val="18"/>
          <w:szCs w:val="18"/>
        </w:rPr>
        <w:t>Anexo XV</w:t>
      </w:r>
      <w:r>
        <w:rPr>
          <w:rFonts w:hint="default" w:ascii="Arial" w:hAnsi="Arial" w:cs="Arial"/>
          <w:sz w:val="18"/>
          <w:szCs w:val="18"/>
          <w:lang w:val="pt-BR"/>
        </w:rPr>
        <w:t>I</w:t>
      </w:r>
      <w:r>
        <w:rPr>
          <w:rFonts w:hint="default" w:ascii="Arial" w:hAnsi="Arial" w:cs="Arial"/>
          <w:sz w:val="18"/>
          <w:szCs w:val="18"/>
        </w:rPr>
        <w:t xml:space="preserve"> - Termo de referência e demandas</w:t>
      </w:r>
    </w:p>
    <w:p w14:paraId="57777C01">
      <w:pPr>
        <w:pStyle w:val="304"/>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X</w:t>
      </w:r>
      <w:r>
        <w:rPr>
          <w:rFonts w:hint="default" w:ascii="Arial" w:hAnsi="Arial" w:cs="Arial"/>
          <w:sz w:val="18"/>
          <w:szCs w:val="18"/>
        </w:rPr>
        <w:t>V</w:t>
      </w:r>
      <w:r>
        <w:rPr>
          <w:rFonts w:hint="default" w:ascii="Arial" w:hAnsi="Arial" w:cs="Arial"/>
          <w:sz w:val="18"/>
          <w:szCs w:val="18"/>
          <w:lang w:val="pt-BR"/>
        </w:rPr>
        <w:t>II</w:t>
      </w:r>
      <w:r>
        <w:rPr>
          <w:rFonts w:hint="default" w:ascii="Arial" w:hAnsi="Arial" w:cs="Arial"/>
          <w:sz w:val="18"/>
          <w:szCs w:val="18"/>
        </w:rPr>
        <w:t xml:space="preserve"> - Relação dos itens no ComprasGovernamentais</w:t>
      </w:r>
    </w:p>
    <w:p w14:paraId="168EDB9A">
      <w:pPr>
        <w:pStyle w:val="298"/>
        <w:numPr>
          <w:ilvl w:val="0"/>
          <w:numId w:val="0"/>
        </w:numPr>
        <w:spacing w:line="360" w:lineRule="auto"/>
        <w:ind w:leftChars="0"/>
        <w:jc w:val="both"/>
        <w:rPr>
          <w:rFonts w:hint="default" w:ascii="Arial" w:hAnsi="Arial" w:cs="Arial"/>
          <w:sz w:val="18"/>
          <w:szCs w:val="18"/>
        </w:rPr>
      </w:pPr>
      <w:r>
        <w:rPr>
          <w:rFonts w:hint="default" w:ascii="Arial" w:hAnsi="Arial" w:cs="Arial"/>
          <w:sz w:val="18"/>
          <w:szCs w:val="18"/>
          <w:lang w:val="pt-BR"/>
        </w:rPr>
        <w:t>Anexo XVIII - L</w:t>
      </w:r>
      <w:r>
        <w:rPr>
          <w:rFonts w:hint="default" w:ascii="Arial" w:hAnsi="Arial" w:cs="Arial"/>
          <w:bCs/>
          <w:color w:val="000000"/>
          <w:sz w:val="18"/>
          <w:szCs w:val="18"/>
        </w:rPr>
        <w:t>ei 4.853/2022</w:t>
      </w:r>
    </w:p>
    <w:p w14:paraId="4CCCCD5F">
      <w:pPr>
        <w:pStyle w:val="298"/>
        <w:numPr>
          <w:ilvl w:val="0"/>
          <w:numId w:val="0"/>
        </w:numPr>
        <w:spacing w:line="360" w:lineRule="auto"/>
        <w:ind w:leftChars="0"/>
        <w:jc w:val="both"/>
        <w:rPr>
          <w:rFonts w:hint="default" w:ascii="Arial" w:hAnsi="Arial" w:cs="Arial"/>
          <w:bCs/>
          <w:color w:val="000000"/>
          <w:sz w:val="18"/>
          <w:szCs w:val="18"/>
        </w:rPr>
      </w:pPr>
      <w:r>
        <w:rPr>
          <w:rFonts w:hint="default" w:ascii="Arial" w:hAnsi="Arial" w:cs="Arial"/>
          <w:bCs/>
          <w:color w:val="000000"/>
          <w:sz w:val="18"/>
          <w:szCs w:val="18"/>
          <w:lang w:val="pt-BR"/>
        </w:rPr>
        <w:t>Anexo XIX -  L</w:t>
      </w:r>
      <w:r>
        <w:rPr>
          <w:rFonts w:hint="default" w:ascii="Arial" w:hAnsi="Arial" w:cs="Arial"/>
          <w:bCs/>
          <w:color w:val="000000"/>
          <w:sz w:val="18"/>
          <w:szCs w:val="18"/>
        </w:rPr>
        <w:t xml:space="preserve">ei 4.971/2023 </w:t>
      </w:r>
    </w:p>
    <w:p w14:paraId="68F16E08">
      <w:pPr>
        <w:pStyle w:val="298"/>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XX - Parecer jurídico abertura</w:t>
      </w:r>
    </w:p>
    <w:p w14:paraId="6484824C">
      <w:pPr>
        <w:pStyle w:val="304"/>
        <w:spacing w:before="0" w:after="0" w:line="240" w:lineRule="auto"/>
        <w:ind w:left="0"/>
        <w:rPr>
          <w:rFonts w:hint="default" w:ascii="Arial" w:hAnsi="Arial" w:cs="Arial"/>
          <w:sz w:val="18"/>
          <w:szCs w:val="18"/>
        </w:rPr>
      </w:pPr>
    </w:p>
    <w:p w14:paraId="6CD8DE89">
      <w:pPr>
        <w:pStyle w:val="284"/>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rPr>
      </w:pPr>
      <w:r>
        <w:rPr>
          <w:rFonts w:hint="default" w:ascii="Arial" w:hAnsi="Arial" w:cs="Arial"/>
          <w:b/>
          <w:sz w:val="18"/>
          <w:szCs w:val="18"/>
          <w:lang w:eastAsia="ar-SA"/>
        </w:rPr>
        <w:t>20 O FORO</w:t>
      </w:r>
    </w:p>
    <w:p w14:paraId="47E658BF">
      <w:pPr>
        <w:pStyle w:val="268"/>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lang w:eastAsia="ar-SA"/>
        </w:rPr>
      </w:pPr>
      <w:r>
        <w:rPr>
          <w:rFonts w:hint="default" w:ascii="Arial" w:hAnsi="Arial" w:cs="Arial"/>
          <w:sz w:val="18"/>
          <w:szCs w:val="18"/>
        </w:rPr>
        <w:t xml:space="preserve">20.1 O Foro competente para dirimir as controvérsias desse Edital é o da Comarca de </w:t>
      </w:r>
      <w:r>
        <w:rPr>
          <w:rFonts w:hint="default" w:ascii="Arial" w:hAnsi="Arial" w:cs="Arial"/>
          <w:sz w:val="18"/>
          <w:szCs w:val="18"/>
          <w:lang w:eastAsia="ar-SA"/>
        </w:rPr>
        <w:t>Cataguases, Estado de Minas Gerais, nos termos do art. 2º da Lei Federal nº 10.153/2.009 ou do art. 59, da Lei Complementar Estadual nº 059/2001.</w:t>
      </w:r>
    </w:p>
    <w:p w14:paraId="7C1995C8">
      <w:pPr>
        <w:spacing w:line="360" w:lineRule="auto"/>
        <w:rPr>
          <w:rFonts w:hint="default" w:ascii="Arial" w:hAnsi="Arial" w:cs="Arial"/>
          <w:sz w:val="18"/>
          <w:szCs w:val="18"/>
        </w:rPr>
      </w:pPr>
      <w:r>
        <w:rPr>
          <w:rFonts w:hint="default" w:ascii="Arial" w:hAnsi="Arial" w:cs="Arial"/>
          <w:sz w:val="18"/>
          <w:szCs w:val="18"/>
        </w:rPr>
        <w:t>Cataguases,</w:t>
      </w:r>
      <w:r>
        <w:rPr>
          <w:rFonts w:hint="default" w:ascii="Arial" w:hAnsi="Arial" w:cs="Arial"/>
          <w:sz w:val="18"/>
          <w:szCs w:val="18"/>
          <w:lang w:val="pt-BR"/>
        </w:rPr>
        <w:t xml:space="preserve"> 28 de abril de 2025</w:t>
      </w:r>
      <w:r>
        <w:rPr>
          <w:rFonts w:hint="default" w:ascii="Arial" w:hAnsi="Arial" w:cs="Arial"/>
          <w:sz w:val="18"/>
          <w:szCs w:val="18"/>
        </w:rPr>
        <w:t>.</w:t>
      </w:r>
    </w:p>
    <w:p w14:paraId="49133FDB">
      <w:pPr>
        <w:ind w:firstLine="567"/>
        <w:jc w:val="center"/>
        <w:rPr>
          <w:rFonts w:hint="default" w:ascii="Arial" w:hAnsi="Arial" w:cs="Arial"/>
          <w:sz w:val="18"/>
          <w:szCs w:val="18"/>
        </w:rPr>
      </w:pPr>
    </w:p>
    <w:p w14:paraId="0F11E866">
      <w:pPr>
        <w:ind w:firstLine="567"/>
        <w:jc w:val="center"/>
        <w:rPr>
          <w:rFonts w:hint="default" w:ascii="Arial" w:hAnsi="Arial" w:cs="Arial"/>
          <w:sz w:val="18"/>
          <w:szCs w:val="18"/>
        </w:rPr>
      </w:pPr>
    </w:p>
    <w:p w14:paraId="300E3FC3">
      <w:pPr>
        <w:ind w:firstLine="567"/>
        <w:jc w:val="center"/>
        <w:rPr>
          <w:rFonts w:hint="default" w:ascii="Arial" w:hAnsi="Arial" w:cs="Arial"/>
          <w:sz w:val="18"/>
          <w:szCs w:val="18"/>
        </w:rPr>
      </w:pPr>
      <w:r>
        <w:rPr>
          <w:rFonts w:hint="default" w:ascii="Arial" w:hAnsi="Arial" w:cs="Arial"/>
          <w:sz w:val="18"/>
          <w:szCs w:val="18"/>
        </w:rPr>
        <w:t>_________________________________</w:t>
      </w:r>
    </w:p>
    <w:p w14:paraId="4A558503">
      <w:pPr>
        <w:ind w:firstLine="567"/>
        <w:jc w:val="center"/>
        <w:rPr>
          <w:rFonts w:hint="default" w:ascii="Arial" w:hAnsi="Arial" w:cs="Arial"/>
          <w:b/>
          <w:bCs/>
          <w:sz w:val="18"/>
          <w:szCs w:val="18"/>
        </w:rPr>
      </w:pPr>
      <w:r>
        <w:rPr>
          <w:rFonts w:hint="default" w:ascii="Arial" w:hAnsi="Arial" w:cs="Arial"/>
          <w:b/>
          <w:bCs/>
          <w:sz w:val="18"/>
          <w:szCs w:val="18"/>
        </w:rPr>
        <w:t>José Henriques</w:t>
      </w:r>
    </w:p>
    <w:p w14:paraId="684E5A66">
      <w:pPr>
        <w:ind w:firstLine="567"/>
        <w:jc w:val="center"/>
        <w:rPr>
          <w:rFonts w:hint="default" w:ascii="Arial" w:hAnsi="Arial" w:cs="Arial"/>
          <w:b/>
          <w:bCs/>
          <w:sz w:val="18"/>
          <w:szCs w:val="18"/>
        </w:rPr>
      </w:pPr>
      <w:r>
        <w:rPr>
          <w:rFonts w:hint="default" w:ascii="Arial" w:hAnsi="Arial" w:cs="Arial"/>
          <w:b/>
          <w:bCs/>
          <w:sz w:val="18"/>
          <w:szCs w:val="18"/>
        </w:rPr>
        <w:t>Prefeito de Cataguases</w:t>
      </w:r>
    </w:p>
    <w:p w14:paraId="608695E6">
      <w:pPr>
        <w:jc w:val="center"/>
        <w:rPr>
          <w:rFonts w:ascii="Arial" w:hAnsi="Arial" w:cs="Arial"/>
          <w:b/>
          <w:bCs/>
          <w:color w:val="auto"/>
          <w:sz w:val="32"/>
          <w:szCs w:val="32"/>
        </w:rPr>
      </w:pPr>
    </w:p>
    <w:p w14:paraId="3CAF2ED5">
      <w:pPr>
        <w:jc w:val="center"/>
        <w:rPr>
          <w:rFonts w:ascii="Arial" w:hAnsi="Arial" w:cs="Arial"/>
          <w:b/>
          <w:bCs/>
          <w:color w:val="auto"/>
          <w:sz w:val="32"/>
          <w:szCs w:val="32"/>
        </w:rPr>
      </w:pPr>
    </w:p>
    <w:p w14:paraId="7C3DB8AA">
      <w:pPr>
        <w:jc w:val="center"/>
        <w:rPr>
          <w:rFonts w:ascii="Arial" w:hAnsi="Arial" w:cs="Arial"/>
          <w:b/>
          <w:bCs/>
          <w:color w:val="auto"/>
          <w:sz w:val="32"/>
          <w:szCs w:val="32"/>
        </w:rPr>
      </w:pPr>
    </w:p>
    <w:p w14:paraId="3A3207C4">
      <w:pPr>
        <w:jc w:val="center"/>
        <w:rPr>
          <w:rFonts w:ascii="Arial" w:hAnsi="Arial" w:cs="Arial"/>
          <w:b/>
          <w:bCs/>
          <w:color w:val="auto"/>
          <w:sz w:val="32"/>
          <w:szCs w:val="32"/>
        </w:rPr>
      </w:pPr>
    </w:p>
    <w:p w14:paraId="78EF3A57">
      <w:pPr>
        <w:jc w:val="both"/>
        <w:rPr>
          <w:rFonts w:ascii="Arial" w:hAnsi="Arial" w:cs="Arial"/>
          <w:b/>
          <w:bCs/>
          <w:color w:val="auto"/>
          <w:sz w:val="32"/>
          <w:szCs w:val="32"/>
        </w:rPr>
      </w:pPr>
    </w:p>
    <w:p w14:paraId="7B855739">
      <w:pPr>
        <w:jc w:val="center"/>
        <w:rPr>
          <w:rFonts w:ascii="Arial" w:hAnsi="Arial" w:cs="Arial"/>
          <w:b/>
          <w:bCs/>
          <w:color w:val="auto"/>
          <w:sz w:val="32"/>
          <w:szCs w:val="32"/>
        </w:rPr>
      </w:pPr>
      <w:r>
        <w:rPr>
          <w:rFonts w:ascii="Arial" w:hAnsi="Arial" w:cs="Arial"/>
          <w:b/>
          <w:bCs/>
          <w:color w:val="auto"/>
          <w:sz w:val="32"/>
          <w:szCs w:val="32"/>
        </w:rPr>
        <w:t xml:space="preserve">ANEXO I </w:t>
      </w:r>
    </w:p>
    <w:p w14:paraId="65CE82C9">
      <w:pPr>
        <w:jc w:val="center"/>
        <w:rPr>
          <w:rFonts w:ascii="Arial" w:hAnsi="Arial" w:cs="Arial"/>
          <w:b/>
          <w:bCs/>
          <w:color w:val="auto"/>
          <w:sz w:val="20"/>
          <w:szCs w:val="20"/>
        </w:rPr>
      </w:pPr>
    </w:p>
    <w:p w14:paraId="2C24B9BE">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065/2025</w:t>
      </w:r>
    </w:p>
    <w:p w14:paraId="7E3385EA">
      <w:pPr>
        <w:jc w:val="center"/>
        <w:rPr>
          <w:rFonts w:hint="default" w:ascii="Arial" w:hAnsi="Arial" w:cs="Arial"/>
          <w:b/>
          <w:bCs/>
          <w:color w:val="auto"/>
          <w:sz w:val="20"/>
          <w:szCs w:val="20"/>
          <w:lang w:val="pt-BR"/>
        </w:rPr>
      </w:pPr>
      <w:r>
        <w:rPr>
          <w:rFonts w:ascii="Arial" w:hAnsi="Arial" w:cs="Arial"/>
          <w:b/>
          <w:bCs/>
          <w:color w:val="auto"/>
          <w:sz w:val="20"/>
          <w:szCs w:val="20"/>
        </w:rPr>
        <w:t xml:space="preserve">PREGÃO ELETRÔNICO N° </w:t>
      </w:r>
      <w:r>
        <w:rPr>
          <w:rFonts w:ascii="Arial" w:hAnsi="Arial" w:cs="Arial"/>
          <w:b/>
          <w:bCs/>
          <w:color w:val="auto"/>
          <w:sz w:val="20"/>
          <w:szCs w:val="20"/>
          <w:lang w:val="pt-BR"/>
        </w:rPr>
        <w:t>0</w:t>
      </w:r>
      <w:r>
        <w:rPr>
          <w:rFonts w:hint="default" w:ascii="Arial" w:hAnsi="Arial" w:cs="Arial"/>
          <w:b/>
          <w:bCs/>
          <w:color w:val="auto"/>
          <w:sz w:val="20"/>
          <w:szCs w:val="20"/>
          <w:lang w:val="pt-BR"/>
        </w:rPr>
        <w:t>36/2025</w:t>
      </w:r>
    </w:p>
    <w:p w14:paraId="190AC4D0">
      <w:pPr>
        <w:jc w:val="center"/>
        <w:rPr>
          <w:rFonts w:hint="default" w:ascii="Arial" w:hAnsi="Arial" w:cs="Arial"/>
          <w:b/>
          <w:bCs/>
          <w:color w:val="auto"/>
          <w:sz w:val="20"/>
          <w:szCs w:val="20"/>
          <w:lang w:val="pt-BR"/>
        </w:rPr>
      </w:pPr>
      <w:r>
        <w:rPr>
          <w:rFonts w:ascii="Arial" w:hAnsi="Arial" w:cs="Arial"/>
          <w:b/>
          <w:bCs/>
          <w:color w:val="auto"/>
          <w:sz w:val="20"/>
          <w:szCs w:val="20"/>
        </w:rPr>
        <w:t xml:space="preserve">REGISTRO DE PREÇOS N° </w:t>
      </w:r>
      <w:r>
        <w:rPr>
          <w:rFonts w:ascii="Arial" w:hAnsi="Arial" w:cs="Arial"/>
          <w:b/>
          <w:bCs/>
          <w:color w:val="auto"/>
          <w:sz w:val="20"/>
          <w:szCs w:val="20"/>
          <w:lang w:val="pt-BR"/>
        </w:rPr>
        <w:t>0</w:t>
      </w:r>
      <w:r>
        <w:rPr>
          <w:rFonts w:hint="default" w:ascii="Arial" w:hAnsi="Arial" w:cs="Arial"/>
          <w:b/>
          <w:bCs/>
          <w:color w:val="auto"/>
          <w:sz w:val="20"/>
          <w:szCs w:val="20"/>
          <w:lang w:val="pt-BR"/>
        </w:rPr>
        <w:t>34/2025</w:t>
      </w:r>
    </w:p>
    <w:p w14:paraId="5C3425F6">
      <w:pPr>
        <w:jc w:val="center"/>
        <w:rPr>
          <w:rFonts w:ascii="Arial" w:hAnsi="Arial" w:cs="Arial"/>
          <w:b/>
          <w:bCs/>
          <w:color w:val="000000"/>
          <w:sz w:val="20"/>
          <w:szCs w:val="20"/>
        </w:rPr>
      </w:pPr>
    </w:p>
    <w:p w14:paraId="0776F281">
      <w:pPr>
        <w:pStyle w:val="220"/>
        <w:numPr>
          <w:ilvl w:val="0"/>
          <w:numId w:val="18"/>
        </w:numPr>
        <w:ind w:left="426" w:hanging="426"/>
        <w:rPr>
          <w:rFonts w:ascii="Arial" w:hAnsi="Arial" w:cs="Arial"/>
          <w:b/>
          <w:bCs/>
          <w:color w:val="000000"/>
        </w:rPr>
      </w:pPr>
      <w:r>
        <w:rPr>
          <w:rFonts w:ascii="Arial" w:hAnsi="Arial" w:cs="Arial"/>
          <w:b/>
          <w:bCs/>
          <w:color w:val="000000"/>
        </w:rPr>
        <w:t>ELABORADO PEL</w:t>
      </w:r>
      <w:r>
        <w:rPr>
          <w:rFonts w:hint="default" w:ascii="Arial" w:hAnsi="Arial" w:cs="Arial"/>
          <w:b/>
          <w:bCs/>
          <w:color w:val="000000"/>
          <w:lang w:val="pt-BR"/>
        </w:rPr>
        <w:t>O SETOR DE COMPRAS DA SECRETARIA DE SAÚDE DA PMC</w:t>
      </w:r>
    </w:p>
    <w:p w14:paraId="35A000DA">
      <w:pPr>
        <w:spacing w:line="276" w:lineRule="auto"/>
        <w:ind w:firstLine="567"/>
        <w:jc w:val="center"/>
        <w:rPr>
          <w:rFonts w:hint="default" w:ascii="Arial" w:hAnsi="Arial" w:cs="Arial"/>
          <w:b/>
          <w:sz w:val="20"/>
          <w:szCs w:val="20"/>
        </w:rPr>
      </w:pPr>
    </w:p>
    <w:p w14:paraId="281CF91C">
      <w:pPr>
        <w:autoSpaceDE w:val="0"/>
        <w:autoSpaceDN w:val="0"/>
        <w:adjustRightInd w:val="0"/>
        <w:spacing w:line="276" w:lineRule="auto"/>
        <w:jc w:val="center"/>
        <w:rPr>
          <w:rFonts w:hint="default" w:ascii="Arial" w:hAnsi="Arial" w:cs="Arial"/>
          <w:b/>
          <w:sz w:val="18"/>
          <w:szCs w:val="18"/>
        </w:rPr>
      </w:pPr>
      <w:r>
        <w:rPr>
          <w:rFonts w:hint="default" w:ascii="Arial" w:hAnsi="Arial" w:cs="Arial"/>
          <w:b/>
          <w:sz w:val="18"/>
          <w:szCs w:val="18"/>
        </w:rPr>
        <w:t xml:space="preserve">TERMO DE REFERÊNCIA </w:t>
      </w:r>
    </w:p>
    <w:p w14:paraId="12241622">
      <w:pPr>
        <w:pStyle w:val="278"/>
        <w:numPr>
          <w:ilvl w:val="0"/>
          <w:numId w:val="0"/>
        </w:numPr>
        <w:spacing w:after="240" w:line="276" w:lineRule="auto"/>
        <w:ind w:left="0" w:leftChars="0" w:firstLine="0" w:firstLineChars="0"/>
        <w:rPr>
          <w:rFonts w:hint="default" w:ascii="Arial" w:hAnsi="Arial" w:cs="Arial"/>
          <w:sz w:val="18"/>
          <w:szCs w:val="18"/>
        </w:rPr>
      </w:pPr>
      <w:r>
        <w:rPr>
          <w:rFonts w:hint="default" w:ascii="Arial" w:hAnsi="Arial" w:cs="Arial"/>
          <w:sz w:val="18"/>
          <w:szCs w:val="18"/>
        </w:rPr>
        <w:t>1.CONDIÇÕES GERAIS DA CONTRATAÇÃO</w:t>
      </w:r>
    </w:p>
    <w:p w14:paraId="7D630B1E">
      <w:pPr>
        <w:pStyle w:val="303"/>
        <w:numPr>
          <w:ilvl w:val="0"/>
          <w:numId w:val="0"/>
        </w:numPr>
        <w:autoSpaceDE w:val="0"/>
        <w:autoSpaceDN w:val="0"/>
        <w:adjustRightInd w:val="0"/>
        <w:spacing w:after="0"/>
        <w:ind w:left="0" w:leftChars="0" w:firstLine="0" w:firstLineChars="0"/>
        <w:rPr>
          <w:rStyle w:val="336"/>
          <w:rFonts w:hint="default" w:ascii="Arial" w:hAnsi="Arial" w:eastAsia="Times New Roman" w:cs="Arial"/>
          <w:b/>
          <w:sz w:val="18"/>
          <w:szCs w:val="18"/>
        </w:rPr>
      </w:pPr>
      <w:r>
        <w:rPr>
          <w:rFonts w:hint="default" w:ascii="Arial" w:hAnsi="Arial" w:eastAsia="Times New Roman" w:cs="Arial"/>
          <w:b/>
          <w:sz w:val="18"/>
          <w:szCs w:val="18"/>
        </w:rPr>
        <w:t>1.1.</w:t>
      </w:r>
      <w:r>
        <w:rPr>
          <w:rFonts w:hint="default" w:ascii="Arial" w:hAnsi="Arial" w:eastAsia="Times New Roman" w:cs="Arial"/>
          <w:sz w:val="18"/>
          <w:szCs w:val="18"/>
        </w:rPr>
        <w:t xml:space="preserve"> O presente documento tem por objetivo estabelecer as condições gerais que orientarão o processo licitatório na </w:t>
      </w:r>
      <w:r>
        <w:rPr>
          <w:rFonts w:hint="default" w:ascii="Arial" w:hAnsi="Arial" w:eastAsia="Times New Roman" w:cs="Arial"/>
          <w:b/>
          <w:sz w:val="18"/>
          <w:szCs w:val="18"/>
        </w:rPr>
        <w:t>modalidade Pregão Eletrônico, pelo sistema de Registro de Preços, tipo Maior Percentual de</w:t>
      </w:r>
      <w:r>
        <w:rPr>
          <w:rFonts w:hint="default" w:ascii="Arial" w:hAnsi="Arial" w:eastAsia="Tahoma" w:cs="Arial"/>
          <w:sz w:val="18"/>
          <w:szCs w:val="18"/>
        </w:rPr>
        <w:t xml:space="preserve"> </w:t>
      </w:r>
      <w:r>
        <w:rPr>
          <w:rFonts w:hint="default" w:ascii="Arial" w:hAnsi="Arial" w:eastAsia="Tahoma" w:cs="Arial"/>
          <w:b/>
          <w:sz w:val="18"/>
          <w:szCs w:val="18"/>
        </w:rPr>
        <w:t>Desconto</w:t>
      </w:r>
      <w:r>
        <w:rPr>
          <w:rFonts w:hint="default" w:ascii="Arial" w:hAnsi="Arial" w:eastAsia="Tahoma" w:cs="Arial"/>
          <w:sz w:val="18"/>
          <w:szCs w:val="18"/>
        </w:rPr>
        <w:t xml:space="preserve"> por item sobre a tabela CMED/Anvisa no PMVG (Preço Máximo de Venda ao Governo), para aquisição de medicamentos de A à Z Referência (Éticos e Biológicos), visando atender às demandas judiciais da Secretaria Municipal de Saúde de Cataguases</w:t>
      </w:r>
      <w:r>
        <w:rPr>
          <w:rFonts w:hint="default" w:ascii="Arial" w:hAnsi="Arial" w:cs="Arial"/>
          <w:sz w:val="18"/>
          <w:szCs w:val="18"/>
        </w:rPr>
        <w:t xml:space="preserve"> – MG, conforme condições e exigências estabelecidas neste instrumento e </w:t>
      </w:r>
      <w:r>
        <w:rPr>
          <w:rStyle w:val="336"/>
          <w:rFonts w:hint="default" w:ascii="Arial" w:hAnsi="Arial" w:cs="Arial"/>
          <w:sz w:val="18"/>
          <w:szCs w:val="18"/>
        </w:rPr>
        <w:t>com base nos parâmetros da Lei 14.133/2021.</w:t>
      </w:r>
    </w:p>
    <w:p w14:paraId="5D87B586">
      <w:pPr>
        <w:shd w:val="clear" w:color="auto" w:fill="FFFFFF"/>
        <w:spacing w:after="0" w:line="276" w:lineRule="auto"/>
        <w:ind w:left="0" w:leftChars="0" w:firstLine="0" w:firstLineChars="0"/>
        <w:jc w:val="both"/>
        <w:textAlignment w:val="center"/>
        <w:rPr>
          <w:rFonts w:hint="default" w:ascii="Arial" w:hAnsi="Arial" w:cs="Arial"/>
          <w:color w:val="000000" w:themeColor="text1"/>
          <w:sz w:val="18"/>
          <w:szCs w:val="18"/>
          <w14:textFill>
            <w14:solidFill>
              <w14:schemeClr w14:val="tx1"/>
            </w14:solidFill>
          </w14:textFill>
        </w:rPr>
      </w:pPr>
      <w:r>
        <w:rPr>
          <w:rFonts w:hint="default" w:ascii="Arial" w:hAnsi="Arial" w:cs="Arial"/>
          <w:b/>
          <w:color w:val="000000" w:themeColor="text1"/>
          <w:sz w:val="18"/>
          <w:szCs w:val="18"/>
          <w14:textFill>
            <w14:solidFill>
              <w14:schemeClr w14:val="tx1"/>
            </w14:solidFill>
          </w14:textFill>
        </w:rPr>
        <w:t>1.2.</w:t>
      </w:r>
      <w:r>
        <w:rPr>
          <w:rFonts w:hint="default" w:ascii="Arial" w:hAnsi="Arial" w:cs="Arial"/>
          <w:color w:val="000000" w:themeColor="text1"/>
          <w:sz w:val="18"/>
          <w:szCs w:val="18"/>
          <w14:textFill>
            <w14:solidFill>
              <w14:schemeClr w14:val="tx1"/>
            </w14:solidFill>
          </w14:textFill>
        </w:rPr>
        <w:t xml:space="preserve"> </w:t>
      </w:r>
      <w:r>
        <w:rPr>
          <w:rFonts w:hint="default" w:ascii="Arial" w:hAnsi="Arial" w:cs="Arial"/>
          <w:sz w:val="18"/>
          <w:szCs w:val="18"/>
        </w:rPr>
        <w:t>Os itens se enquadram na classificação de bens e serviços comuns, segundo o art. 6º, inciso XIII, da Lei Federal nº 14.133/2021, conforme a justificativa constante no Estudo Técnico Preliminar</w:t>
      </w:r>
      <w:r>
        <w:rPr>
          <w:rFonts w:hint="default" w:ascii="Arial" w:hAnsi="Arial" w:cs="Arial"/>
          <w:color w:val="FF0000"/>
          <w:sz w:val="18"/>
          <w:szCs w:val="18"/>
        </w:rPr>
        <w:t>.</w:t>
      </w:r>
    </w:p>
    <w:p w14:paraId="282930DD">
      <w:pPr>
        <w:shd w:val="clear" w:color="auto" w:fill="FFFFFF"/>
        <w:spacing w:after="0" w:line="276" w:lineRule="auto"/>
        <w:ind w:left="0" w:leftChars="0" w:firstLine="0" w:firstLineChars="0"/>
        <w:jc w:val="both"/>
        <w:textAlignment w:val="center"/>
        <w:rPr>
          <w:rFonts w:hint="default" w:ascii="Arial" w:hAnsi="Arial" w:cs="Arial"/>
          <w:sz w:val="18"/>
          <w:szCs w:val="18"/>
        </w:rPr>
      </w:pPr>
      <w:r>
        <w:rPr>
          <w:rFonts w:hint="default" w:ascii="Arial" w:hAnsi="Arial" w:cs="Arial"/>
          <w:b/>
          <w:sz w:val="18"/>
          <w:szCs w:val="18"/>
        </w:rPr>
        <w:t>1.3.</w:t>
      </w:r>
      <w:r>
        <w:rPr>
          <w:rFonts w:hint="default" w:ascii="Arial" w:hAnsi="Arial" w:cs="Arial"/>
          <w:sz w:val="18"/>
          <w:szCs w:val="18"/>
        </w:rPr>
        <w:t xml:space="preserve"> O objeto desta contratação não se enquadra como sendo de bem de luxo, conforme Decreto nº 10.818, de 27 de setembro de 2021.</w:t>
      </w:r>
    </w:p>
    <w:p w14:paraId="5B383C89">
      <w:pPr>
        <w:shd w:val="clear" w:color="auto" w:fill="FFFFFF"/>
        <w:spacing w:after="0" w:line="276" w:lineRule="auto"/>
        <w:ind w:left="0" w:leftChars="0" w:firstLine="0" w:firstLineChars="0"/>
        <w:jc w:val="both"/>
        <w:textAlignment w:val="center"/>
        <w:rPr>
          <w:rFonts w:hint="default" w:ascii="Arial" w:hAnsi="Arial" w:cs="Arial"/>
          <w:sz w:val="18"/>
          <w:szCs w:val="18"/>
        </w:rPr>
      </w:pPr>
      <w:r>
        <w:rPr>
          <w:rFonts w:hint="default" w:ascii="Arial" w:hAnsi="Arial" w:cs="Arial"/>
          <w:b/>
          <w:sz w:val="18"/>
          <w:szCs w:val="18"/>
        </w:rPr>
        <w:t>1.4.</w:t>
      </w:r>
      <w:r>
        <w:rPr>
          <w:rFonts w:hint="default" w:ascii="Arial" w:hAnsi="Arial" w:cs="Arial"/>
          <w:sz w:val="18"/>
          <w:szCs w:val="18"/>
        </w:rPr>
        <w:t xml:space="preserve"> O prazo de vigência da contratação será de 12 (doze) meses a contar da data de Homologação da Ata, podendo ser prorrogado de acordo com a Lei vigente.</w:t>
      </w:r>
    </w:p>
    <w:p w14:paraId="63B04265">
      <w:pPr>
        <w:pStyle w:val="303"/>
        <w:numPr>
          <w:ilvl w:val="1"/>
          <w:numId w:val="0"/>
        </w:numPr>
        <w:spacing w:before="0"/>
        <w:ind w:left="0" w:leftChars="0" w:firstLine="0" w:firstLineChars="0"/>
        <w:rPr>
          <w:rFonts w:hint="default" w:ascii="Arial" w:hAnsi="Arial" w:cs="Arial"/>
          <w:sz w:val="18"/>
          <w:szCs w:val="18"/>
        </w:rPr>
      </w:pPr>
      <w:r>
        <w:rPr>
          <w:rFonts w:hint="default" w:ascii="Arial" w:hAnsi="Arial" w:cs="Arial"/>
          <w:b/>
          <w:sz w:val="18"/>
          <w:szCs w:val="18"/>
        </w:rPr>
        <w:t>1.5.</w:t>
      </w:r>
      <w:r>
        <w:rPr>
          <w:rFonts w:hint="default" w:ascii="Arial" w:hAnsi="Arial" w:cs="Arial"/>
          <w:sz w:val="18"/>
          <w:szCs w:val="18"/>
        </w:rPr>
        <w:t xml:space="preserve"> A Ata oferece maior detalhamento das regras que serão aplicadas em relação à vigência da contratação.</w:t>
      </w:r>
    </w:p>
    <w:p w14:paraId="3CDD2394">
      <w:pPr>
        <w:spacing w:after="0" w:line="360" w:lineRule="auto"/>
        <w:ind w:left="0" w:leftChars="0" w:firstLine="0" w:firstLineChars="0"/>
        <w:jc w:val="both"/>
        <w:rPr>
          <w:rFonts w:hint="default" w:ascii="Arial" w:hAnsi="Arial" w:cs="Arial"/>
          <w:b/>
          <w:bCs/>
          <w:sz w:val="18"/>
          <w:szCs w:val="18"/>
        </w:rPr>
      </w:pPr>
      <w:r>
        <w:rPr>
          <w:rFonts w:hint="default" w:ascii="Arial" w:hAnsi="Arial" w:cs="Arial"/>
          <w:b/>
          <w:bCs/>
          <w:sz w:val="18"/>
          <w:szCs w:val="18"/>
        </w:rPr>
        <w:t>2. ESTIMATIVA DAS QUANTIDADES A SEREM CONTRATADAS</w:t>
      </w:r>
    </w:p>
    <w:p w14:paraId="522455B3">
      <w:pPr>
        <w:spacing w:after="0" w:line="276" w:lineRule="auto"/>
        <w:ind w:left="0" w:leftChars="0" w:firstLine="0" w:firstLineChars="0"/>
        <w:jc w:val="both"/>
        <w:rPr>
          <w:rFonts w:hint="default" w:ascii="Arial" w:hAnsi="Arial" w:eastAsia="LiberationSerif-Bold" w:cs="Arial"/>
          <w:sz w:val="18"/>
          <w:szCs w:val="18"/>
          <w:lang w:eastAsia="zh-CN"/>
        </w:rPr>
      </w:pPr>
      <w:r>
        <w:rPr>
          <w:rFonts w:hint="default" w:ascii="Arial" w:hAnsi="Arial" w:eastAsia="LiberationSerif-Bold" w:cs="Arial"/>
          <w:b/>
          <w:sz w:val="18"/>
          <w:szCs w:val="18"/>
          <w:lang w:eastAsia="zh-CN"/>
        </w:rPr>
        <w:t>2.1.</w:t>
      </w:r>
      <w:r>
        <w:rPr>
          <w:rFonts w:hint="default" w:ascii="Arial" w:hAnsi="Arial" w:eastAsia="LiberationSerif-Bold" w:cs="Arial"/>
          <w:sz w:val="18"/>
          <w:szCs w:val="18"/>
          <w:lang w:eastAsia="zh-CN"/>
        </w:rPr>
        <w:t xml:space="preserve"> </w:t>
      </w:r>
      <w:r>
        <w:rPr>
          <w:rFonts w:hint="default" w:ascii="Arial" w:hAnsi="Arial" w:cs="Arial"/>
          <w:sz w:val="18"/>
          <w:szCs w:val="18"/>
        </w:rPr>
        <w:t xml:space="preserve">A estimativa das quantidades a serem contratadas será definida com base nas demandas judiciais existentes e nas projeções futuras, considerando a sazonalidade e o aumento progressivo de demandas. </w:t>
      </w:r>
    </w:p>
    <w:p w14:paraId="0BE55636">
      <w:pPr>
        <w:spacing w:after="0" w:line="360" w:lineRule="auto"/>
        <w:ind w:left="0" w:leftChars="0" w:firstLine="0" w:firstLineChars="0"/>
        <w:jc w:val="both"/>
        <w:rPr>
          <w:rFonts w:hint="default" w:ascii="Arial" w:hAnsi="Arial" w:eastAsia="LiberationSerif-Bold" w:cs="Arial"/>
          <w:sz w:val="18"/>
          <w:szCs w:val="18"/>
          <w:lang w:eastAsia="zh-CN"/>
        </w:rPr>
      </w:pPr>
      <w:r>
        <w:rPr>
          <w:rFonts w:hint="default" w:ascii="Arial" w:hAnsi="Arial" w:eastAsia="LiberationSerif-Bold" w:cs="Arial"/>
          <w:b/>
          <w:sz w:val="18"/>
          <w:szCs w:val="18"/>
          <w:lang w:eastAsia="zh-CN"/>
        </w:rPr>
        <w:t xml:space="preserve">2.2. </w:t>
      </w:r>
      <w:r>
        <w:rPr>
          <w:rFonts w:hint="default" w:ascii="Arial" w:hAnsi="Arial" w:eastAsia="LiberationSerif-Bold" w:cs="Arial"/>
          <w:sz w:val="18"/>
          <w:szCs w:val="18"/>
          <w:lang w:eastAsia="zh-CN"/>
        </w:rPr>
        <w:t>A estimativa das quantidades a serem contratadas é detalhada conforme tabela abaixo:</w:t>
      </w:r>
    </w:p>
    <w:tbl>
      <w:tblPr>
        <w:tblStyle w:val="38"/>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7796"/>
        <w:gridCol w:w="851"/>
      </w:tblGrid>
      <w:tr w14:paraId="3FA2D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14:paraId="2BC50F1F">
            <w:pPr>
              <w:ind w:left="0" w:leftChars="0" w:firstLine="0" w:firstLineChars="0"/>
              <w:jc w:val="center"/>
              <w:rPr>
                <w:rFonts w:hint="default" w:ascii="Arial" w:hAnsi="Arial" w:cs="Arial"/>
                <w:b/>
                <w:sz w:val="18"/>
                <w:szCs w:val="18"/>
              </w:rPr>
            </w:pPr>
            <w:r>
              <w:rPr>
                <w:rFonts w:hint="default" w:ascii="Arial" w:hAnsi="Arial" w:cs="Arial"/>
                <w:b/>
                <w:sz w:val="18"/>
                <w:szCs w:val="18"/>
              </w:rPr>
              <w:t>Item</w:t>
            </w:r>
          </w:p>
        </w:tc>
        <w:tc>
          <w:tcPr>
            <w:tcW w:w="7796" w:type="dxa"/>
          </w:tcPr>
          <w:p w14:paraId="1FC76E3F">
            <w:pPr>
              <w:ind w:left="0" w:leftChars="0" w:firstLine="0" w:firstLineChars="0"/>
              <w:jc w:val="center"/>
              <w:rPr>
                <w:rFonts w:hint="default" w:ascii="Arial" w:hAnsi="Arial" w:cs="Arial"/>
                <w:b/>
                <w:sz w:val="18"/>
                <w:szCs w:val="18"/>
              </w:rPr>
            </w:pPr>
            <w:r>
              <w:rPr>
                <w:rFonts w:hint="default" w:ascii="Arial" w:hAnsi="Arial" w:cs="Arial"/>
                <w:b/>
                <w:sz w:val="18"/>
                <w:szCs w:val="18"/>
              </w:rPr>
              <w:t>Descrição</w:t>
            </w:r>
          </w:p>
        </w:tc>
        <w:tc>
          <w:tcPr>
            <w:tcW w:w="851" w:type="dxa"/>
          </w:tcPr>
          <w:p w14:paraId="1E58168C">
            <w:pPr>
              <w:ind w:left="0" w:leftChars="0" w:firstLine="0" w:firstLineChars="0"/>
              <w:jc w:val="center"/>
              <w:rPr>
                <w:rFonts w:hint="default" w:ascii="Arial" w:hAnsi="Arial" w:cs="Arial"/>
                <w:b/>
                <w:sz w:val="18"/>
                <w:szCs w:val="18"/>
              </w:rPr>
            </w:pPr>
            <w:r>
              <w:rPr>
                <w:rFonts w:hint="default" w:ascii="Arial" w:hAnsi="Arial" w:cs="Arial"/>
                <w:b/>
                <w:sz w:val="18"/>
                <w:szCs w:val="18"/>
              </w:rPr>
              <w:t>Código</w:t>
            </w:r>
          </w:p>
        </w:tc>
      </w:tr>
      <w:tr w14:paraId="3B0C5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14:paraId="311FDE33">
            <w:pPr>
              <w:ind w:left="0" w:leftChars="0" w:firstLine="0" w:firstLineChars="0"/>
              <w:jc w:val="center"/>
              <w:rPr>
                <w:rFonts w:hint="default" w:ascii="Arial" w:hAnsi="Arial" w:cs="Arial"/>
                <w:sz w:val="18"/>
                <w:szCs w:val="18"/>
              </w:rPr>
            </w:pPr>
            <w:r>
              <w:rPr>
                <w:rFonts w:hint="default" w:ascii="Arial" w:hAnsi="Arial" w:cs="Arial"/>
                <w:sz w:val="18"/>
                <w:szCs w:val="18"/>
              </w:rPr>
              <w:t>01</w:t>
            </w:r>
          </w:p>
        </w:tc>
        <w:tc>
          <w:tcPr>
            <w:tcW w:w="7796" w:type="dxa"/>
          </w:tcPr>
          <w:p w14:paraId="6F56576F">
            <w:pPr>
              <w:spacing w:after="0"/>
              <w:ind w:left="0" w:leftChars="0" w:firstLine="0" w:firstLineChars="0"/>
              <w:jc w:val="both"/>
              <w:rPr>
                <w:rFonts w:hint="default" w:ascii="Arial" w:hAnsi="Arial" w:cs="Arial"/>
                <w:sz w:val="18"/>
                <w:szCs w:val="18"/>
              </w:rPr>
            </w:pPr>
            <w:r>
              <w:rPr>
                <w:rFonts w:hint="default" w:ascii="Arial" w:hAnsi="Arial" w:cs="Arial"/>
                <w:sz w:val="18"/>
                <w:szCs w:val="18"/>
              </w:rPr>
              <w:t>Medicamentos REFERÊNCIA (ÉTICOS e BIOLÓGICOS) de “A à Z”, descritos na Tabela CMED/ANVISA – COLUNA – PMVG – ICMS 18%.</w:t>
            </w:r>
          </w:p>
        </w:tc>
        <w:tc>
          <w:tcPr>
            <w:tcW w:w="851" w:type="dxa"/>
          </w:tcPr>
          <w:p w14:paraId="078182D0">
            <w:pPr>
              <w:ind w:left="0" w:leftChars="0" w:firstLine="0" w:firstLineChars="0"/>
              <w:jc w:val="center"/>
              <w:rPr>
                <w:rFonts w:hint="default" w:ascii="Arial" w:hAnsi="Arial" w:cs="Arial"/>
                <w:sz w:val="18"/>
                <w:szCs w:val="18"/>
              </w:rPr>
            </w:pPr>
            <w:r>
              <w:rPr>
                <w:rFonts w:hint="default" w:ascii="Arial" w:hAnsi="Arial" w:cs="Arial"/>
                <w:sz w:val="18"/>
                <w:szCs w:val="18"/>
              </w:rPr>
              <w:t>15660</w:t>
            </w:r>
          </w:p>
        </w:tc>
      </w:tr>
    </w:tbl>
    <w:p w14:paraId="4D2B1C32">
      <w:pPr>
        <w:spacing w:after="0" w:line="360" w:lineRule="auto"/>
        <w:ind w:left="0" w:leftChars="0" w:firstLine="0" w:firstLineChars="0"/>
        <w:jc w:val="both"/>
        <w:rPr>
          <w:rFonts w:hint="default" w:ascii="Arial" w:hAnsi="Arial" w:cs="Arial"/>
          <w:sz w:val="18"/>
          <w:szCs w:val="18"/>
        </w:rPr>
      </w:pPr>
    </w:p>
    <w:p w14:paraId="7640272B">
      <w:pPr>
        <w:suppressAutoHyphens/>
        <w:spacing w:line="276" w:lineRule="auto"/>
        <w:ind w:left="0" w:leftChars="0" w:firstLine="0" w:firstLineChars="0"/>
        <w:jc w:val="both"/>
        <w:rPr>
          <w:rFonts w:hint="default" w:ascii="Arial" w:hAnsi="Arial" w:eastAsia="Arial-BoldMT" w:cs="Arial"/>
          <w:bCs/>
          <w:color w:val="000000"/>
          <w:sz w:val="18"/>
          <w:szCs w:val="18"/>
          <w:lang w:eastAsia="pt-BR"/>
        </w:rPr>
      </w:pPr>
      <w:r>
        <w:rPr>
          <w:rFonts w:hint="default" w:ascii="Arial" w:hAnsi="Arial" w:eastAsia="Arial-BoldMT" w:cs="Arial"/>
          <w:b/>
          <w:bCs/>
          <w:color w:val="000000"/>
          <w:sz w:val="18"/>
          <w:szCs w:val="18"/>
          <w:lang w:val="en-US" w:eastAsia="pt-BR"/>
        </w:rPr>
        <w:t>OBS:</w:t>
      </w:r>
      <w:r>
        <w:rPr>
          <w:rFonts w:hint="default" w:ascii="Arial" w:hAnsi="Arial" w:eastAsia="Arial-BoldMT" w:cs="Arial"/>
          <w:bCs/>
          <w:color w:val="000000"/>
          <w:sz w:val="18"/>
          <w:szCs w:val="18"/>
          <w:lang w:val="en-US" w:eastAsia="pt-BR"/>
        </w:rPr>
        <w:t xml:space="preserve"> </w:t>
      </w:r>
      <w:r>
        <w:rPr>
          <w:rFonts w:hint="default" w:ascii="Arial" w:hAnsi="Arial" w:eastAsia="Arial-BoldMT" w:cs="Arial"/>
          <w:bCs/>
          <w:color w:val="000000"/>
          <w:sz w:val="18"/>
          <w:szCs w:val="18"/>
          <w:lang w:eastAsia="pt-BR"/>
        </w:rPr>
        <w:t>Quando não encontrado o código com a descrição exata do item em pesquisa no “ComprasNet”, o código descrito será que mais se aproxima do produto, prevalecendo às</w:t>
      </w:r>
      <w:r>
        <w:rPr>
          <w:rFonts w:hint="default" w:ascii="Arial" w:hAnsi="Arial" w:eastAsia="Arial-BoldMT" w:cs="Arial"/>
          <w:b/>
          <w:bCs/>
          <w:color w:val="000000"/>
          <w:sz w:val="18"/>
          <w:szCs w:val="18"/>
          <w:lang w:eastAsia="pt-BR"/>
        </w:rPr>
        <w:t xml:space="preserve"> descrições deste Termo de Referência</w:t>
      </w:r>
      <w:r>
        <w:rPr>
          <w:rFonts w:hint="default" w:ascii="Arial" w:hAnsi="Arial" w:eastAsia="Arial-BoldMT" w:cs="Arial"/>
          <w:bCs/>
          <w:color w:val="000000"/>
          <w:sz w:val="18"/>
          <w:szCs w:val="18"/>
          <w:lang w:eastAsia="pt-BR"/>
        </w:rPr>
        <w:t>.</w:t>
      </w:r>
    </w:p>
    <w:p w14:paraId="378436AB">
      <w:pPr>
        <w:pStyle w:val="278"/>
        <w:numPr>
          <w:ilvl w:val="0"/>
          <w:numId w:val="19"/>
        </w:numPr>
        <w:spacing w:after="240"/>
        <w:ind w:left="0" w:leftChars="0" w:firstLine="0" w:firstLineChars="0"/>
        <w:rPr>
          <w:rFonts w:hint="default" w:ascii="Arial" w:hAnsi="Arial" w:cs="Arial"/>
          <w:sz w:val="18"/>
          <w:szCs w:val="18"/>
        </w:rPr>
      </w:pPr>
      <w:r>
        <w:rPr>
          <w:rFonts w:hint="default" w:ascii="Arial" w:hAnsi="Arial" w:cs="Arial"/>
          <w:sz w:val="18"/>
          <w:szCs w:val="18"/>
        </w:rPr>
        <w:t>FUNDAMENTAÇÃO E DESCRIÇÃO DA NECESSIDADE DA CONTRATAÇÃO</w:t>
      </w:r>
    </w:p>
    <w:p w14:paraId="4058F5A3">
      <w:pPr>
        <w:pStyle w:val="303"/>
        <w:numPr>
          <w:ilvl w:val="0"/>
          <w:numId w:val="0"/>
        </w:numPr>
        <w:spacing w:after="0"/>
        <w:ind w:left="0" w:leftChars="0" w:firstLine="0" w:firstLineChars="0"/>
        <w:rPr>
          <w:rFonts w:hint="default" w:ascii="Arial" w:hAnsi="Arial" w:cs="Arial"/>
          <w:sz w:val="18"/>
          <w:szCs w:val="18"/>
        </w:rPr>
      </w:pPr>
      <w:r>
        <w:rPr>
          <w:rFonts w:hint="default" w:ascii="Arial" w:hAnsi="Arial" w:cs="Arial"/>
          <w:b/>
          <w:sz w:val="18"/>
          <w:szCs w:val="18"/>
        </w:rPr>
        <w:t xml:space="preserve">3.1. </w:t>
      </w:r>
      <w:r>
        <w:rPr>
          <w:rFonts w:hint="default" w:ascii="Arial" w:hAnsi="Arial" w:cs="Arial"/>
          <w:sz w:val="18"/>
          <w:szCs w:val="18"/>
        </w:rPr>
        <w:t xml:space="preserve">A Secretaria Municipal de Saúde de Cataguases - MG tem a responsabilidade de garantir o acesso da população a medicamentos essenciais, incluindo </w:t>
      </w:r>
      <w:r>
        <w:rPr>
          <w:rFonts w:hint="default" w:ascii="Arial" w:hAnsi="Arial" w:eastAsia="Tahoma" w:cs="Arial"/>
          <w:sz w:val="18"/>
          <w:szCs w:val="18"/>
        </w:rPr>
        <w:t>Referência (Éticos e Biológicos)</w:t>
      </w:r>
      <w:r>
        <w:rPr>
          <w:rFonts w:hint="default" w:ascii="Arial" w:hAnsi="Arial" w:cs="Arial"/>
          <w:sz w:val="18"/>
          <w:szCs w:val="18"/>
        </w:rPr>
        <w:t>, conforme as demandas judiciais determinadas. Essas demandas são decorrentes de decisões judiciais que obrigam o município a fornecer medicamentos não disponíveis na rede pública ou fora do protocolo clínico, visando atender às necessidades específicas de pacientes.</w:t>
      </w:r>
    </w:p>
    <w:p w14:paraId="51F44961">
      <w:pPr>
        <w:spacing w:after="0" w:line="276" w:lineRule="auto"/>
        <w:ind w:left="0" w:leftChars="0" w:firstLine="0" w:firstLineChars="0"/>
        <w:jc w:val="both"/>
        <w:rPr>
          <w:rFonts w:hint="default" w:ascii="Arial" w:hAnsi="Arial" w:cs="Arial"/>
          <w:sz w:val="18"/>
          <w:szCs w:val="18"/>
        </w:rPr>
      </w:pPr>
      <w:r>
        <w:rPr>
          <w:rFonts w:hint="default" w:ascii="Arial" w:hAnsi="Arial" w:cs="Arial"/>
          <w:b/>
          <w:sz w:val="18"/>
          <w:szCs w:val="18"/>
        </w:rPr>
        <w:t>3.2.</w:t>
      </w:r>
      <w:r>
        <w:rPr>
          <w:rFonts w:hint="default" w:ascii="Arial" w:hAnsi="Arial" w:cs="Arial"/>
          <w:sz w:val="18"/>
          <w:szCs w:val="18"/>
        </w:rPr>
        <w:t xml:space="preserve"> Considerando a necessidade de aquisição desses medicamentos de forma contínua e eficiente, o presente estudo visa estabelecer a solução mais viável técnica e economicamente para a compra desses insumos, garantindo o cumprimento das obrigações legais e a qualidade no atendimento à população. </w:t>
      </w:r>
    </w:p>
    <w:p w14:paraId="488B4880">
      <w:pPr>
        <w:pStyle w:val="278"/>
        <w:numPr>
          <w:ilvl w:val="0"/>
          <w:numId w:val="0"/>
        </w:numPr>
        <w:spacing w:after="240" w:line="312" w:lineRule="auto"/>
        <w:ind w:left="0" w:leftChars="0" w:firstLine="0" w:firstLineChars="0"/>
        <w:rPr>
          <w:rFonts w:hint="default" w:ascii="Arial" w:hAnsi="Arial" w:cs="Arial"/>
          <w:sz w:val="18"/>
          <w:szCs w:val="18"/>
        </w:rPr>
      </w:pPr>
      <w:r>
        <w:rPr>
          <w:rFonts w:hint="default" w:ascii="Arial" w:hAnsi="Arial" w:cs="Arial"/>
          <w:sz w:val="18"/>
          <w:szCs w:val="18"/>
        </w:rPr>
        <w:t xml:space="preserve">4. DESCRIÇÃO DA SOLUÇÃO COMO UM TODO CONSIDERADO O CICLO DE VIDA DO OBJETO E ESPECIFICAÇÃO DO PRODUTO. </w:t>
      </w:r>
    </w:p>
    <w:p w14:paraId="1CF83D35">
      <w:pPr>
        <w:spacing w:after="0" w:line="276" w:lineRule="auto"/>
        <w:ind w:left="0" w:leftChars="0" w:firstLine="0" w:firstLineChars="0"/>
        <w:jc w:val="both"/>
        <w:rPr>
          <w:rFonts w:hint="default" w:ascii="Arial" w:hAnsi="Arial" w:cs="Arial"/>
          <w:sz w:val="18"/>
          <w:szCs w:val="18"/>
        </w:rPr>
      </w:pPr>
      <w:r>
        <w:rPr>
          <w:rFonts w:hint="default" w:ascii="Arial" w:hAnsi="Arial" w:cs="Arial"/>
          <w:b/>
          <w:sz w:val="18"/>
          <w:szCs w:val="18"/>
        </w:rPr>
        <w:t xml:space="preserve">4.1. </w:t>
      </w:r>
      <w:r>
        <w:rPr>
          <w:rFonts w:hint="default" w:ascii="Arial" w:hAnsi="Arial" w:cs="Arial"/>
          <w:sz w:val="18"/>
          <w:szCs w:val="18"/>
        </w:rPr>
        <w:t xml:space="preserve">A presente solução tem como objetivo garantir a aquisição contínua e eficiente de medicamentos de A à Z </w:t>
      </w:r>
      <w:r>
        <w:rPr>
          <w:rFonts w:hint="default" w:ascii="Arial" w:hAnsi="Arial" w:eastAsia="Tahoma" w:cs="Arial"/>
          <w:sz w:val="18"/>
          <w:szCs w:val="18"/>
        </w:rPr>
        <w:t>Referência (Éticos e Biológicos)</w:t>
      </w:r>
      <w:r>
        <w:rPr>
          <w:rFonts w:hint="default" w:ascii="Arial" w:hAnsi="Arial" w:cs="Arial"/>
          <w:sz w:val="18"/>
          <w:szCs w:val="18"/>
        </w:rPr>
        <w:t>, visando atender às demandas judiciais da Secretaria Municipal de Saúde de Cataguases.</w:t>
      </w:r>
    </w:p>
    <w:p w14:paraId="13471C22">
      <w:pPr>
        <w:suppressAutoHyphens/>
        <w:spacing w:after="0" w:line="276" w:lineRule="auto"/>
        <w:ind w:left="0" w:leftChars="0" w:firstLine="0" w:firstLineChars="0"/>
        <w:jc w:val="both"/>
        <w:rPr>
          <w:rFonts w:hint="default" w:ascii="Arial" w:hAnsi="Arial" w:cs="Arial"/>
          <w:sz w:val="18"/>
          <w:szCs w:val="18"/>
        </w:rPr>
      </w:pPr>
      <w:r>
        <w:rPr>
          <w:rFonts w:hint="default" w:ascii="Arial" w:hAnsi="Arial" w:eastAsia="LiberationSerif-Bold" w:cs="Arial"/>
          <w:b/>
          <w:bCs/>
          <w:sz w:val="18"/>
          <w:szCs w:val="18"/>
          <w:lang w:eastAsia="zh-CN"/>
        </w:rPr>
        <w:t>4.2.</w:t>
      </w:r>
      <w:r>
        <w:rPr>
          <w:rFonts w:hint="default" w:ascii="Arial" w:hAnsi="Arial" w:eastAsia="LiberationSerif-Bold" w:cs="Arial"/>
          <w:bCs/>
          <w:sz w:val="18"/>
          <w:szCs w:val="18"/>
          <w:lang w:eastAsia="zh-CN"/>
        </w:rPr>
        <w:tab/>
      </w:r>
      <w:r>
        <w:rPr>
          <w:rFonts w:hint="default" w:ascii="Arial" w:hAnsi="Arial" w:cs="Arial"/>
          <w:sz w:val="18"/>
          <w:szCs w:val="18"/>
        </w:rPr>
        <w:t>A contratação será realizada por meio de Processo de Licitação na modalidade Pregão Eletrônico, para registro de preços com base no maior percentual de desconto por item sobre a tabela CMED/Anvisa no PMVG.</w:t>
      </w:r>
    </w:p>
    <w:p w14:paraId="27BCDD52">
      <w:pPr>
        <w:suppressAutoHyphens/>
        <w:spacing w:after="0" w:line="276" w:lineRule="auto"/>
        <w:ind w:left="0" w:leftChars="0" w:firstLine="0" w:firstLineChars="0"/>
        <w:jc w:val="both"/>
        <w:rPr>
          <w:rFonts w:hint="default" w:ascii="Arial" w:hAnsi="Arial" w:eastAsia="LiberationSerif-Bold" w:cs="Arial"/>
          <w:bCs/>
          <w:sz w:val="18"/>
          <w:szCs w:val="18"/>
          <w:lang w:eastAsia="zh-CN"/>
        </w:rPr>
      </w:pPr>
      <w:r>
        <w:rPr>
          <w:rFonts w:hint="default" w:ascii="Arial" w:hAnsi="Arial" w:eastAsia="LiberationSerif-Bold" w:cs="Arial"/>
          <w:b/>
          <w:bCs/>
          <w:sz w:val="18"/>
          <w:szCs w:val="18"/>
          <w:lang w:eastAsia="zh-CN"/>
        </w:rPr>
        <w:t>4.3.</w:t>
      </w:r>
      <w:r>
        <w:rPr>
          <w:rFonts w:hint="default" w:ascii="Arial" w:hAnsi="Arial" w:eastAsia="LiberationSerif-Bold" w:cs="Arial"/>
          <w:b/>
          <w:bCs/>
          <w:sz w:val="18"/>
          <w:szCs w:val="18"/>
          <w:lang w:eastAsia="zh-CN"/>
        </w:rPr>
        <w:tab/>
      </w:r>
      <w:r>
        <w:rPr>
          <w:rFonts w:hint="default" w:ascii="Arial" w:hAnsi="Arial" w:cs="Arial"/>
          <w:sz w:val="18"/>
          <w:szCs w:val="18"/>
        </w:rPr>
        <w:t>A solução proposta garante economicidade, transparência e ampla competitividade, atendendo aos princípios da administração pública.</w:t>
      </w:r>
    </w:p>
    <w:p w14:paraId="5B36C3D4">
      <w:pPr>
        <w:suppressAutoHyphens/>
        <w:spacing w:after="0" w:line="276" w:lineRule="auto"/>
        <w:ind w:left="0" w:leftChars="0" w:firstLine="0" w:firstLineChars="0"/>
        <w:jc w:val="both"/>
        <w:rPr>
          <w:rFonts w:hint="default" w:ascii="Arial" w:hAnsi="Arial" w:cs="Arial"/>
          <w:sz w:val="18"/>
          <w:szCs w:val="18"/>
        </w:rPr>
      </w:pPr>
      <w:r>
        <w:rPr>
          <w:rFonts w:hint="default" w:ascii="Arial" w:hAnsi="Arial" w:eastAsia="LiberationSerif-Bold" w:cs="Arial"/>
          <w:b/>
          <w:bCs/>
          <w:sz w:val="18"/>
          <w:szCs w:val="18"/>
          <w:lang w:eastAsia="zh-CN"/>
        </w:rPr>
        <w:t>4.4.</w:t>
      </w:r>
      <w:r>
        <w:rPr>
          <w:rFonts w:hint="default" w:ascii="Arial" w:hAnsi="Arial" w:eastAsia="LiberationSerif-Bold" w:cs="Arial"/>
          <w:bCs/>
          <w:sz w:val="18"/>
          <w:szCs w:val="18"/>
          <w:lang w:eastAsia="zh-CN"/>
        </w:rPr>
        <w:tab/>
      </w:r>
      <w:r>
        <w:rPr>
          <w:rFonts w:hint="default" w:ascii="Arial" w:hAnsi="Arial" w:cs="Arial"/>
          <w:sz w:val="18"/>
          <w:szCs w:val="18"/>
        </w:rPr>
        <w:t>Com a implementação desta solução, busca-se garantir o cumprimento das obrigações judiciais, a continuidade do tratamento dos pacientes e a otimização dos recursos públicos.</w:t>
      </w:r>
    </w:p>
    <w:p w14:paraId="067CFAEF">
      <w:pPr>
        <w:pStyle w:val="278"/>
        <w:numPr>
          <w:numId w:val="0"/>
        </w:numPr>
        <w:ind w:leftChars="0"/>
        <w:rPr>
          <w:rFonts w:hint="default" w:ascii="Arial" w:hAnsi="Arial" w:cs="Arial"/>
          <w:sz w:val="18"/>
          <w:szCs w:val="18"/>
        </w:rPr>
      </w:pPr>
      <w:r>
        <w:rPr>
          <w:rFonts w:hint="default" w:ascii="Arial" w:hAnsi="Arial" w:cs="Arial"/>
          <w:sz w:val="18"/>
          <w:szCs w:val="18"/>
          <w:lang w:val="pt-BR"/>
        </w:rPr>
        <w:t xml:space="preserve">5. </w:t>
      </w:r>
      <w:r>
        <w:rPr>
          <w:rFonts w:hint="default" w:ascii="Arial" w:hAnsi="Arial" w:cs="Arial"/>
          <w:sz w:val="18"/>
          <w:szCs w:val="18"/>
        </w:rPr>
        <w:t>REQUISITOS DA CONTRATAÇÃO</w:t>
      </w:r>
    </w:p>
    <w:p w14:paraId="5DC88FD8">
      <w:pPr>
        <w:pStyle w:val="303"/>
        <w:numPr>
          <w:ilvl w:val="0"/>
          <w:numId w:val="0"/>
        </w:numPr>
        <w:ind w:left="0" w:leftChars="0" w:firstLine="0" w:firstLineChars="0"/>
        <w:rPr>
          <w:rFonts w:hint="default" w:ascii="Arial" w:hAnsi="Arial" w:cs="Arial"/>
          <w:b/>
          <w:sz w:val="18"/>
          <w:szCs w:val="18"/>
        </w:rPr>
      </w:pPr>
      <w:r>
        <w:rPr>
          <w:rFonts w:hint="default" w:ascii="Arial" w:hAnsi="Arial" w:cs="Arial"/>
          <w:b/>
          <w:sz w:val="18"/>
          <w:szCs w:val="18"/>
        </w:rPr>
        <w:t xml:space="preserve">5.1. Sustentabilidade </w:t>
      </w:r>
    </w:p>
    <w:p w14:paraId="6B64D1FA">
      <w:pPr>
        <w:pStyle w:val="303"/>
        <w:numPr>
          <w:ilvl w:val="0"/>
          <w:numId w:val="0"/>
        </w:numPr>
        <w:ind w:left="0" w:leftChars="0" w:firstLine="0" w:firstLineChars="0"/>
        <w:rPr>
          <w:rFonts w:hint="default" w:ascii="Arial" w:hAnsi="Arial" w:cs="Arial"/>
          <w:sz w:val="18"/>
          <w:szCs w:val="18"/>
        </w:rPr>
      </w:pPr>
      <w:r>
        <w:rPr>
          <w:rFonts w:hint="default" w:ascii="Arial" w:hAnsi="Arial" w:cs="Arial"/>
          <w:b/>
          <w:sz w:val="18"/>
          <w:szCs w:val="18"/>
        </w:rPr>
        <w:t>5.1.1.</w:t>
      </w:r>
      <w:r>
        <w:rPr>
          <w:rFonts w:hint="default" w:ascii="Arial" w:hAnsi="Arial" w:cs="Arial"/>
          <w:sz w:val="18"/>
          <w:szCs w:val="18"/>
        </w:rPr>
        <w:t xml:space="preserve"> Além dos critérios de sustentabilidade eventualmente inseridos na descrição do objeto, devem ser atendidos os seguintes requisitos, que se baseiam no Guia Nacional de Contratações Sustentáveis.</w:t>
      </w:r>
    </w:p>
    <w:p w14:paraId="78681FE4">
      <w:pPr>
        <w:pStyle w:val="303"/>
        <w:numPr>
          <w:ilvl w:val="0"/>
          <w:numId w:val="0"/>
        </w:numPr>
        <w:ind w:left="0" w:leftChars="0" w:firstLine="0" w:firstLineChars="0"/>
        <w:rPr>
          <w:rFonts w:hint="default" w:ascii="Arial" w:hAnsi="Arial" w:cs="Arial"/>
          <w:b/>
          <w:sz w:val="18"/>
          <w:szCs w:val="18"/>
        </w:rPr>
      </w:pPr>
      <w:r>
        <w:rPr>
          <w:rFonts w:hint="default" w:ascii="Arial" w:hAnsi="Arial" w:cs="Arial"/>
          <w:b/>
          <w:sz w:val="18"/>
          <w:szCs w:val="18"/>
        </w:rPr>
        <w:t>5.2. Subcontratação</w:t>
      </w:r>
      <w:r>
        <w:rPr>
          <w:rFonts w:hint="default" w:ascii="Arial" w:hAnsi="Arial" w:cs="Arial"/>
          <w:sz w:val="18"/>
          <w:szCs w:val="18"/>
        </w:rPr>
        <w:t xml:space="preserve"> </w:t>
      </w:r>
    </w:p>
    <w:p w14:paraId="4082B7C2">
      <w:pPr>
        <w:spacing w:after="0" w:line="276" w:lineRule="auto"/>
        <w:ind w:left="0" w:leftChars="0" w:firstLine="0" w:firstLineChars="0"/>
        <w:jc w:val="both"/>
        <w:rPr>
          <w:rFonts w:hint="default" w:ascii="Arial" w:hAnsi="Arial" w:cs="Arial"/>
          <w:sz w:val="18"/>
          <w:szCs w:val="18"/>
        </w:rPr>
      </w:pPr>
      <w:r>
        <w:rPr>
          <w:rFonts w:hint="default" w:ascii="Arial" w:hAnsi="Arial" w:cs="Arial"/>
          <w:b/>
          <w:sz w:val="18"/>
          <w:szCs w:val="18"/>
        </w:rPr>
        <w:t xml:space="preserve">5.2.1. </w:t>
      </w:r>
      <w:r>
        <w:rPr>
          <w:rFonts w:hint="default" w:ascii="Arial" w:hAnsi="Arial" w:cs="Arial"/>
          <w:sz w:val="18"/>
          <w:szCs w:val="18"/>
        </w:rPr>
        <w:t>É vedada a subcontratação.</w:t>
      </w:r>
    </w:p>
    <w:p w14:paraId="0408269A">
      <w:pPr>
        <w:pStyle w:val="303"/>
        <w:numPr>
          <w:ilvl w:val="0"/>
          <w:numId w:val="0"/>
        </w:numPr>
        <w:spacing w:after="0"/>
        <w:ind w:left="0" w:leftChars="0" w:firstLine="0" w:firstLineChars="0"/>
        <w:rPr>
          <w:rFonts w:hint="default" w:ascii="Arial" w:hAnsi="Arial" w:cs="Arial"/>
          <w:b/>
          <w:sz w:val="18"/>
          <w:szCs w:val="18"/>
        </w:rPr>
      </w:pPr>
      <w:r>
        <w:rPr>
          <w:rFonts w:hint="default" w:ascii="Arial" w:hAnsi="Arial" w:cs="Arial"/>
          <w:b/>
          <w:sz w:val="18"/>
          <w:szCs w:val="18"/>
        </w:rPr>
        <w:t>5.3. Garantia da Contratação</w:t>
      </w:r>
    </w:p>
    <w:p w14:paraId="04E45524">
      <w:pPr>
        <w:pStyle w:val="304"/>
        <w:numPr>
          <w:ilvl w:val="0"/>
          <w:numId w:val="0"/>
        </w:numPr>
        <w:spacing w:after="0"/>
        <w:ind w:left="0" w:leftChars="0" w:firstLine="0" w:firstLineChars="0"/>
        <w:rPr>
          <w:rFonts w:hint="default" w:ascii="Arial" w:hAnsi="Arial" w:cs="Arial"/>
          <w:sz w:val="18"/>
          <w:szCs w:val="18"/>
        </w:rPr>
      </w:pPr>
      <w:r>
        <w:rPr>
          <w:rFonts w:hint="default" w:ascii="Arial" w:hAnsi="Arial" w:cs="Arial"/>
          <w:b/>
          <w:sz w:val="18"/>
          <w:szCs w:val="18"/>
        </w:rPr>
        <w:t>5.3.1.</w:t>
      </w:r>
      <w:r>
        <w:rPr>
          <w:rFonts w:hint="default" w:ascii="Arial" w:hAnsi="Arial" w:cs="Arial"/>
          <w:sz w:val="18"/>
          <w:szCs w:val="18"/>
        </w:rPr>
        <w:t xml:space="preserve"> </w:t>
      </w:r>
      <w:r>
        <w:rPr>
          <w:rFonts w:hint="default" w:ascii="Arial" w:hAnsi="Arial" w:cs="Arial"/>
          <w:color w:val="auto"/>
          <w:sz w:val="18"/>
          <w:szCs w:val="18"/>
        </w:rPr>
        <w:t xml:space="preserve">Não será exigida garantia </w:t>
      </w:r>
      <w:r>
        <w:rPr>
          <w:rFonts w:hint="default" w:ascii="Arial" w:hAnsi="Arial" w:eastAsia="Times New Roman" w:cs="Arial"/>
          <w:color w:val="auto"/>
          <w:sz w:val="18"/>
          <w:szCs w:val="18"/>
        </w:rPr>
        <w:t>de execução da contratação para esse objeto.</w:t>
      </w:r>
    </w:p>
    <w:p w14:paraId="48D41895">
      <w:pPr>
        <w:pStyle w:val="304"/>
        <w:numPr>
          <w:ilvl w:val="0"/>
          <w:numId w:val="0"/>
        </w:numPr>
        <w:ind w:left="0" w:leftChars="0" w:firstLine="0" w:firstLineChars="0"/>
        <w:rPr>
          <w:rFonts w:hint="default" w:ascii="Arial" w:hAnsi="Arial" w:cs="Arial"/>
          <w:sz w:val="18"/>
          <w:szCs w:val="18"/>
        </w:rPr>
      </w:pPr>
      <w:r>
        <w:rPr>
          <w:rFonts w:hint="default" w:ascii="Arial" w:hAnsi="Arial" w:cs="Arial"/>
          <w:b/>
          <w:sz w:val="18"/>
          <w:szCs w:val="18"/>
        </w:rPr>
        <w:t xml:space="preserve">5.4. Da Indicação de Marcas ou Modelos </w:t>
      </w:r>
    </w:p>
    <w:p w14:paraId="17C5F2F3">
      <w:pPr>
        <w:suppressAutoHyphens/>
        <w:spacing w:after="0" w:line="276" w:lineRule="auto"/>
        <w:ind w:left="0" w:leftChars="0" w:firstLine="0" w:firstLineChars="0"/>
        <w:jc w:val="both"/>
        <w:rPr>
          <w:rFonts w:hint="default" w:ascii="Arial" w:hAnsi="Arial" w:eastAsia="LiberationSerif-Bold" w:cs="Arial"/>
          <w:bCs/>
          <w:sz w:val="18"/>
          <w:szCs w:val="18"/>
          <w:lang w:eastAsia="zh-CN"/>
        </w:rPr>
      </w:pPr>
      <w:r>
        <w:rPr>
          <w:rFonts w:hint="default" w:ascii="Arial" w:hAnsi="Arial" w:eastAsia="LiberationSerif-Bold" w:cs="Arial"/>
          <w:b/>
          <w:bCs/>
          <w:sz w:val="18"/>
          <w:szCs w:val="18"/>
          <w:lang w:eastAsia="zh-CN"/>
        </w:rPr>
        <w:t>5.4.1.</w:t>
      </w:r>
      <w:r>
        <w:rPr>
          <w:rFonts w:hint="default" w:ascii="Arial" w:hAnsi="Arial" w:eastAsia="LiberationSerif-Bold" w:cs="Arial"/>
          <w:bCs/>
          <w:sz w:val="18"/>
          <w:szCs w:val="18"/>
          <w:lang w:eastAsia="zh-CN"/>
        </w:rPr>
        <w:t xml:space="preserve"> Não se aplica neste caso.</w:t>
      </w:r>
    </w:p>
    <w:p w14:paraId="69828ABD">
      <w:pPr>
        <w:pStyle w:val="303"/>
        <w:numPr>
          <w:ilvl w:val="0"/>
          <w:numId w:val="0"/>
        </w:numPr>
        <w:spacing w:after="0" w:line="240" w:lineRule="auto"/>
        <w:ind w:left="0" w:leftChars="0" w:firstLine="0" w:firstLineChars="0"/>
        <w:rPr>
          <w:rFonts w:hint="default" w:ascii="Arial" w:hAnsi="Arial" w:cs="Arial"/>
          <w:b/>
          <w:sz w:val="18"/>
          <w:szCs w:val="18"/>
        </w:rPr>
      </w:pPr>
      <w:r>
        <w:rPr>
          <w:rFonts w:hint="default" w:ascii="Arial" w:hAnsi="Arial" w:cs="Arial"/>
          <w:b/>
          <w:sz w:val="18"/>
          <w:szCs w:val="18"/>
        </w:rPr>
        <w:t>5.5. Da Vedação de Marcas ou Modelos</w:t>
      </w:r>
    </w:p>
    <w:p w14:paraId="74D10D1F">
      <w:pPr>
        <w:pStyle w:val="304"/>
        <w:numPr>
          <w:ilvl w:val="0"/>
          <w:numId w:val="0"/>
        </w:numPr>
        <w:spacing w:after="0"/>
        <w:ind w:left="0" w:leftChars="0" w:firstLine="0" w:firstLineChars="0"/>
        <w:rPr>
          <w:rFonts w:hint="default" w:ascii="Arial" w:hAnsi="Arial" w:cs="Arial"/>
          <w:sz w:val="18"/>
          <w:szCs w:val="18"/>
        </w:rPr>
      </w:pPr>
      <w:r>
        <w:rPr>
          <w:rFonts w:hint="default" w:ascii="Arial" w:hAnsi="Arial" w:cs="Arial"/>
          <w:b/>
          <w:sz w:val="18"/>
          <w:szCs w:val="18"/>
        </w:rPr>
        <w:t>5.5.1</w:t>
      </w:r>
      <w:r>
        <w:rPr>
          <w:rFonts w:hint="default" w:ascii="Arial" w:hAnsi="Arial" w:cs="Arial"/>
          <w:sz w:val="18"/>
          <w:szCs w:val="18"/>
        </w:rPr>
        <w:t>. Não se aplica neste caso.</w:t>
      </w:r>
    </w:p>
    <w:p w14:paraId="1236B086">
      <w:pPr>
        <w:pStyle w:val="304"/>
        <w:numPr>
          <w:ilvl w:val="0"/>
          <w:numId w:val="0"/>
        </w:numPr>
        <w:spacing w:after="0"/>
        <w:ind w:left="0" w:leftChars="0" w:firstLine="0" w:firstLineChars="0"/>
        <w:rPr>
          <w:rFonts w:hint="default" w:ascii="Arial" w:hAnsi="Arial" w:cs="Arial"/>
          <w:b/>
          <w:sz w:val="18"/>
          <w:szCs w:val="18"/>
        </w:rPr>
      </w:pPr>
      <w:r>
        <w:rPr>
          <w:rFonts w:hint="default" w:ascii="Arial" w:hAnsi="Arial" w:cs="Arial"/>
          <w:b/>
          <w:sz w:val="18"/>
          <w:szCs w:val="18"/>
        </w:rPr>
        <w:t xml:space="preserve">5.6. Da Vedação de Contratação de Marcas ou Produtos </w:t>
      </w:r>
    </w:p>
    <w:p w14:paraId="5C45D305">
      <w:pPr>
        <w:pStyle w:val="304"/>
        <w:numPr>
          <w:ilvl w:val="0"/>
          <w:numId w:val="0"/>
        </w:numPr>
        <w:spacing w:after="0"/>
        <w:ind w:left="0" w:leftChars="0" w:firstLine="0" w:firstLineChars="0"/>
        <w:rPr>
          <w:rFonts w:hint="default" w:ascii="Arial" w:hAnsi="Arial" w:cs="Arial"/>
          <w:sz w:val="18"/>
          <w:szCs w:val="18"/>
        </w:rPr>
      </w:pPr>
      <w:r>
        <w:rPr>
          <w:rFonts w:hint="default" w:ascii="Arial" w:hAnsi="Arial" w:cs="Arial"/>
          <w:b/>
          <w:sz w:val="18"/>
          <w:szCs w:val="18"/>
        </w:rPr>
        <w:t xml:space="preserve">5.6.1. </w:t>
      </w:r>
      <w:r>
        <w:rPr>
          <w:rFonts w:hint="default" w:ascii="Arial" w:hAnsi="Arial" w:cs="Arial"/>
          <w:sz w:val="18"/>
          <w:szCs w:val="18"/>
        </w:rPr>
        <w:t xml:space="preserve"> Não se aplica neste caso.</w:t>
      </w:r>
    </w:p>
    <w:p w14:paraId="2791A059">
      <w:pPr>
        <w:pStyle w:val="304"/>
        <w:numPr>
          <w:ilvl w:val="0"/>
          <w:numId w:val="0"/>
        </w:numPr>
        <w:ind w:left="0" w:leftChars="0" w:firstLine="0" w:firstLineChars="0"/>
        <w:rPr>
          <w:rFonts w:hint="default" w:ascii="Arial" w:hAnsi="Arial" w:cs="Arial"/>
          <w:b/>
          <w:sz w:val="18"/>
          <w:szCs w:val="18"/>
        </w:rPr>
      </w:pPr>
      <w:r>
        <w:rPr>
          <w:rFonts w:hint="default" w:ascii="Arial" w:hAnsi="Arial" w:cs="Arial"/>
          <w:b/>
          <w:sz w:val="18"/>
          <w:szCs w:val="18"/>
        </w:rPr>
        <w:t>5.7. Da Amostra</w:t>
      </w:r>
    </w:p>
    <w:p w14:paraId="61D67C81">
      <w:pPr>
        <w:pStyle w:val="303"/>
        <w:numPr>
          <w:ilvl w:val="0"/>
          <w:numId w:val="0"/>
        </w:numPr>
        <w:ind w:left="0" w:leftChars="0" w:firstLine="0" w:firstLineChars="0"/>
        <w:rPr>
          <w:rFonts w:hint="default" w:ascii="Arial" w:hAnsi="Arial" w:cs="Arial"/>
          <w:color w:val="auto"/>
          <w:sz w:val="18"/>
          <w:szCs w:val="18"/>
        </w:rPr>
      </w:pPr>
      <w:r>
        <w:rPr>
          <w:rFonts w:hint="default" w:ascii="Arial" w:hAnsi="Arial" w:cs="Arial"/>
          <w:b/>
          <w:sz w:val="18"/>
          <w:szCs w:val="18"/>
        </w:rPr>
        <w:t xml:space="preserve">5.7.1. </w:t>
      </w:r>
      <w:r>
        <w:rPr>
          <w:rFonts w:hint="default" w:ascii="Arial" w:hAnsi="Arial" w:cs="Arial"/>
          <w:color w:val="auto"/>
          <w:sz w:val="18"/>
          <w:szCs w:val="18"/>
        </w:rPr>
        <w:t>Para esta aquisição não se faz necessária o prévio envio de amostras, desde que atendam TODAS as especificações exigidas nesse presente Termo de Referência. Sendo necessária a aprovação anteriormente.</w:t>
      </w:r>
    </w:p>
    <w:p w14:paraId="5EAE149F">
      <w:pPr>
        <w:pStyle w:val="303"/>
        <w:numPr>
          <w:ilvl w:val="0"/>
          <w:numId w:val="0"/>
        </w:numPr>
        <w:ind w:left="0" w:leftChars="0" w:firstLine="0" w:firstLineChars="0"/>
        <w:rPr>
          <w:rFonts w:hint="default" w:ascii="Arial" w:hAnsi="Arial" w:cs="Arial"/>
          <w:b/>
          <w:color w:val="auto"/>
          <w:sz w:val="18"/>
          <w:szCs w:val="18"/>
        </w:rPr>
      </w:pPr>
      <w:r>
        <w:rPr>
          <w:rFonts w:hint="default" w:ascii="Arial" w:hAnsi="Arial" w:cs="Arial"/>
          <w:b/>
          <w:color w:val="auto"/>
          <w:sz w:val="18"/>
          <w:szCs w:val="18"/>
        </w:rPr>
        <w:t>5.7.2. Responsável</w:t>
      </w:r>
    </w:p>
    <w:p w14:paraId="0774AFFB">
      <w:pPr>
        <w:pStyle w:val="220"/>
        <w:numPr>
          <w:ilvl w:val="0"/>
          <w:numId w:val="20"/>
        </w:numPr>
        <w:ind w:left="0" w:leftChars="0" w:firstLine="0" w:firstLineChars="0"/>
        <w:rPr>
          <w:rFonts w:hint="default" w:ascii="Arial" w:hAnsi="Arial" w:cs="Arial"/>
          <w:sz w:val="18"/>
          <w:szCs w:val="18"/>
          <w:lang w:eastAsia="pt-BR"/>
        </w:rPr>
      </w:pPr>
      <w:r>
        <w:rPr>
          <w:rFonts w:hint="default" w:ascii="Arial" w:hAnsi="Arial" w:cs="Arial"/>
          <w:sz w:val="18"/>
          <w:szCs w:val="18"/>
          <w:lang w:eastAsia="pt-BR"/>
        </w:rPr>
        <w:t>Natália da Silva Gonçalves Samel</w:t>
      </w:r>
    </w:p>
    <w:p w14:paraId="7D755D89">
      <w:pPr>
        <w:ind w:left="0" w:leftChars="0" w:firstLine="0" w:firstLineChars="0"/>
        <w:rPr>
          <w:rFonts w:hint="default" w:ascii="Arial" w:hAnsi="Arial" w:cs="Arial"/>
          <w:color w:val="222222"/>
          <w:sz w:val="18"/>
          <w:szCs w:val="18"/>
          <w:shd w:val="clear" w:color="auto" w:fill="FFFFFF"/>
        </w:rPr>
      </w:pPr>
      <w:r>
        <w:rPr>
          <w:rFonts w:hint="default" w:ascii="Arial" w:hAnsi="Arial" w:cs="Arial"/>
          <w:sz w:val="18"/>
          <w:szCs w:val="18"/>
          <w:lang w:eastAsia="pt-BR"/>
        </w:rPr>
        <w:t xml:space="preserve">E-mail: </w:t>
      </w:r>
      <w:r>
        <w:rPr>
          <w:rFonts w:hint="default" w:ascii="Arial" w:hAnsi="Arial" w:cs="Arial"/>
          <w:sz w:val="18"/>
          <w:szCs w:val="18"/>
        </w:rPr>
        <w:fldChar w:fldCharType="begin"/>
      </w:r>
      <w:r>
        <w:rPr>
          <w:rFonts w:hint="default" w:ascii="Arial" w:hAnsi="Arial" w:cs="Arial"/>
          <w:sz w:val="18"/>
          <w:szCs w:val="18"/>
        </w:rPr>
        <w:instrText xml:space="preserve"> HYPERLINK "mailto:diretoriasaudecataguases@gmail.com" </w:instrText>
      </w:r>
      <w:r>
        <w:rPr>
          <w:rFonts w:hint="default" w:ascii="Arial" w:hAnsi="Arial" w:cs="Arial"/>
          <w:sz w:val="18"/>
          <w:szCs w:val="18"/>
        </w:rPr>
        <w:fldChar w:fldCharType="separate"/>
      </w:r>
      <w:r>
        <w:rPr>
          <w:rStyle w:val="11"/>
          <w:rFonts w:hint="default" w:ascii="Arial" w:hAnsi="Arial" w:cs="Arial"/>
          <w:sz w:val="18"/>
          <w:szCs w:val="18"/>
          <w:shd w:val="clear" w:color="auto" w:fill="FFFFFF"/>
        </w:rPr>
        <w:t>diretoriasaudecataguases@gmail.com</w:t>
      </w:r>
      <w:r>
        <w:rPr>
          <w:rStyle w:val="11"/>
          <w:rFonts w:hint="default" w:ascii="Arial" w:hAnsi="Arial" w:cs="Arial"/>
          <w:sz w:val="18"/>
          <w:szCs w:val="18"/>
          <w:shd w:val="clear" w:color="auto" w:fill="FFFFFF"/>
        </w:rPr>
        <w:fldChar w:fldCharType="end"/>
      </w:r>
    </w:p>
    <w:p w14:paraId="1CB2BF2D">
      <w:pPr>
        <w:ind w:left="0" w:leftChars="0" w:firstLine="0" w:firstLineChars="0"/>
        <w:rPr>
          <w:rFonts w:hint="default" w:ascii="Arial" w:hAnsi="Arial" w:cs="Arial"/>
          <w:sz w:val="18"/>
          <w:szCs w:val="18"/>
          <w:lang w:eastAsia="pt-BR"/>
        </w:rPr>
      </w:pPr>
      <w:r>
        <w:rPr>
          <w:rFonts w:hint="default" w:ascii="Arial" w:hAnsi="Arial" w:cs="Arial"/>
          <w:sz w:val="18"/>
          <w:szCs w:val="18"/>
          <w:shd w:val="clear" w:color="auto" w:fill="FFFFFF"/>
        </w:rPr>
        <w:t>Tefefone: 32-3429-2600 ramal: 202</w:t>
      </w:r>
    </w:p>
    <w:p w14:paraId="2521E890">
      <w:pPr>
        <w:pStyle w:val="278"/>
        <w:numPr>
          <w:ilvl w:val="0"/>
          <w:numId w:val="21"/>
        </w:numPr>
        <w:ind w:leftChars="0"/>
        <w:rPr>
          <w:rFonts w:hint="default" w:ascii="Arial" w:hAnsi="Arial" w:eastAsia="Times New Roman" w:cs="Arial"/>
          <w:sz w:val="18"/>
          <w:szCs w:val="18"/>
        </w:rPr>
      </w:pPr>
      <w:r>
        <w:rPr>
          <w:rFonts w:hint="default" w:ascii="Arial" w:hAnsi="Arial" w:eastAsia="Times New Roman" w:cs="Arial"/>
          <w:sz w:val="18"/>
          <w:szCs w:val="18"/>
        </w:rPr>
        <w:t>MODELO DE EXECUÇÃO DO OBJETO</w:t>
      </w:r>
      <w:r>
        <w:rPr>
          <w:rFonts w:hint="default" w:ascii="Arial" w:hAnsi="Arial" w:eastAsia="Times New Roman" w:cs="Arial"/>
          <w:sz w:val="18"/>
          <w:szCs w:val="18"/>
        </w:rPr>
        <w:tab/>
      </w:r>
    </w:p>
    <w:p w14:paraId="6AF28822">
      <w:pPr>
        <w:pStyle w:val="278"/>
        <w:numPr>
          <w:ilvl w:val="0"/>
          <w:numId w:val="0"/>
        </w:numPr>
        <w:spacing w:line="276" w:lineRule="auto"/>
        <w:ind w:left="0" w:leftChars="0" w:firstLine="0" w:firstLineChars="0"/>
        <w:rPr>
          <w:rFonts w:hint="default" w:ascii="Arial" w:hAnsi="Arial" w:cs="Arial"/>
          <w:b w:val="0"/>
          <w:sz w:val="18"/>
          <w:szCs w:val="18"/>
        </w:rPr>
      </w:pPr>
      <w:r>
        <w:rPr>
          <w:rFonts w:hint="default" w:ascii="Arial" w:hAnsi="Arial" w:cs="Arial"/>
          <w:sz w:val="18"/>
          <w:szCs w:val="18"/>
        </w:rPr>
        <w:t>6.1.</w:t>
      </w:r>
      <w:r>
        <w:rPr>
          <w:rFonts w:hint="default" w:ascii="Arial" w:hAnsi="Arial" w:cs="Arial"/>
          <w:b w:val="0"/>
          <w:sz w:val="18"/>
          <w:szCs w:val="18"/>
        </w:rPr>
        <w:t xml:space="preserve"> A aquisição de medicamentos de A à Z </w:t>
      </w:r>
      <w:r>
        <w:rPr>
          <w:rFonts w:hint="default" w:ascii="Arial" w:hAnsi="Arial" w:eastAsia="Tahoma" w:cs="Arial"/>
          <w:b w:val="0"/>
          <w:sz w:val="18"/>
          <w:szCs w:val="18"/>
        </w:rPr>
        <w:t>Referência (Éticos e Biológicos),</w:t>
      </w:r>
      <w:r>
        <w:rPr>
          <w:rFonts w:hint="default" w:ascii="Arial" w:hAnsi="Arial" w:cs="Arial"/>
          <w:b w:val="0"/>
          <w:sz w:val="18"/>
          <w:szCs w:val="18"/>
        </w:rPr>
        <w:t xml:space="preserve"> deve atender aos seguintes requisitos:</w:t>
      </w:r>
    </w:p>
    <w:p w14:paraId="19160A5F">
      <w:pPr>
        <w:pStyle w:val="278"/>
        <w:numPr>
          <w:ilvl w:val="0"/>
          <w:numId w:val="0"/>
        </w:numPr>
        <w:spacing w:before="0" w:line="276" w:lineRule="auto"/>
        <w:ind w:left="0" w:leftChars="0" w:firstLine="0" w:firstLineChars="0"/>
        <w:rPr>
          <w:rFonts w:hint="default" w:ascii="Arial" w:hAnsi="Arial" w:cs="Arial"/>
          <w:b w:val="0"/>
          <w:sz w:val="18"/>
          <w:szCs w:val="18"/>
        </w:rPr>
      </w:pPr>
      <w:r>
        <w:rPr>
          <w:rFonts w:hint="default" w:ascii="Arial" w:hAnsi="Arial" w:cs="Arial"/>
          <w:sz w:val="18"/>
          <w:szCs w:val="18"/>
        </w:rPr>
        <w:t>a)</w:t>
      </w:r>
      <w:r>
        <w:rPr>
          <w:rFonts w:hint="default" w:ascii="Arial" w:hAnsi="Arial" w:cs="Arial"/>
          <w:b w:val="0"/>
          <w:sz w:val="18"/>
          <w:szCs w:val="18"/>
        </w:rPr>
        <w:t xml:space="preserve"> Conformidade com a Legislação: Os medicamentos devem estar registrados na Agência Nacional de Vigilância Sanitária (Anvisa) e atender às normas técnicas e sanitárias vigentes.</w:t>
      </w:r>
    </w:p>
    <w:p w14:paraId="0ADBC155">
      <w:pPr>
        <w:pStyle w:val="278"/>
        <w:numPr>
          <w:ilvl w:val="0"/>
          <w:numId w:val="0"/>
        </w:numPr>
        <w:spacing w:before="0" w:line="276" w:lineRule="auto"/>
        <w:ind w:left="0" w:leftChars="0" w:firstLine="0" w:firstLineChars="0"/>
        <w:rPr>
          <w:rFonts w:hint="default" w:ascii="Arial" w:hAnsi="Arial" w:cs="Arial"/>
          <w:b w:val="0"/>
          <w:sz w:val="18"/>
          <w:szCs w:val="18"/>
        </w:rPr>
      </w:pPr>
      <w:r>
        <w:rPr>
          <w:rFonts w:hint="default" w:ascii="Arial" w:hAnsi="Arial" w:cs="Arial"/>
          <w:sz w:val="18"/>
          <w:szCs w:val="18"/>
        </w:rPr>
        <w:t>b)</w:t>
      </w:r>
      <w:r>
        <w:rPr>
          <w:rFonts w:hint="default" w:ascii="Arial" w:hAnsi="Arial" w:cs="Arial"/>
          <w:b w:val="0"/>
          <w:sz w:val="18"/>
          <w:szCs w:val="18"/>
        </w:rPr>
        <w:t xml:space="preserve"> Qualidade e Segurança: Os medicamentos devem ser provenientes de fabricantes idôneos e com comprovação de qualidade, garantindo a segurança dos pacientes.</w:t>
      </w:r>
    </w:p>
    <w:p w14:paraId="5A164C21">
      <w:pPr>
        <w:pStyle w:val="278"/>
        <w:numPr>
          <w:ilvl w:val="0"/>
          <w:numId w:val="0"/>
        </w:numPr>
        <w:spacing w:before="0" w:line="276" w:lineRule="auto"/>
        <w:ind w:left="0" w:leftChars="0" w:firstLine="0" w:firstLineChars="0"/>
        <w:rPr>
          <w:rFonts w:hint="default" w:ascii="Arial" w:hAnsi="Arial" w:cs="Arial"/>
          <w:b w:val="0"/>
          <w:sz w:val="18"/>
          <w:szCs w:val="18"/>
        </w:rPr>
      </w:pPr>
      <w:r>
        <w:rPr>
          <w:rFonts w:hint="default" w:ascii="Arial" w:hAnsi="Arial" w:cs="Arial"/>
          <w:sz w:val="18"/>
          <w:szCs w:val="18"/>
        </w:rPr>
        <w:t>c)</w:t>
      </w:r>
      <w:r>
        <w:rPr>
          <w:rFonts w:hint="default" w:ascii="Arial" w:hAnsi="Arial" w:cs="Arial"/>
          <w:b w:val="0"/>
          <w:sz w:val="18"/>
          <w:szCs w:val="18"/>
        </w:rPr>
        <w:t xml:space="preserve"> Diversidade de Itens: A contratação deve abranger uma ampla gama de medicamentos, incluindo </w:t>
      </w:r>
      <w:r>
        <w:rPr>
          <w:rFonts w:hint="default" w:ascii="Arial" w:hAnsi="Arial" w:eastAsia="Tahoma" w:cs="Arial"/>
          <w:b w:val="0"/>
          <w:sz w:val="18"/>
          <w:szCs w:val="18"/>
        </w:rPr>
        <w:t>Referência (Éticos e Biológicos)</w:t>
      </w:r>
      <w:r>
        <w:rPr>
          <w:rFonts w:hint="default" w:ascii="Arial" w:hAnsi="Arial" w:cs="Arial"/>
          <w:b w:val="0"/>
          <w:sz w:val="18"/>
          <w:szCs w:val="18"/>
        </w:rPr>
        <w:t>, para atender às diversas demandas judiciais.</w:t>
      </w:r>
    </w:p>
    <w:p w14:paraId="3682EED9">
      <w:pPr>
        <w:pStyle w:val="278"/>
        <w:numPr>
          <w:ilvl w:val="0"/>
          <w:numId w:val="0"/>
        </w:numPr>
        <w:spacing w:before="0" w:line="276" w:lineRule="auto"/>
        <w:ind w:left="0" w:leftChars="0" w:firstLine="0" w:firstLineChars="0"/>
        <w:rPr>
          <w:rFonts w:hint="default" w:ascii="Arial" w:hAnsi="Arial" w:cs="Arial"/>
          <w:b w:val="0"/>
          <w:sz w:val="18"/>
          <w:szCs w:val="18"/>
        </w:rPr>
      </w:pPr>
      <w:r>
        <w:rPr>
          <w:rFonts w:hint="default" w:ascii="Arial" w:hAnsi="Arial" w:cs="Arial"/>
          <w:sz w:val="18"/>
          <w:szCs w:val="18"/>
        </w:rPr>
        <w:t>d)</w:t>
      </w:r>
      <w:r>
        <w:rPr>
          <w:rFonts w:hint="default" w:ascii="Arial" w:hAnsi="Arial" w:cs="Arial"/>
          <w:b w:val="0"/>
          <w:sz w:val="18"/>
          <w:szCs w:val="18"/>
        </w:rPr>
        <w:t xml:space="preserve"> Prazo de Entrega: Os medicamentos devem ser entregues em prazos compatíveis com as necessidades dos pacientes, evitando interrupções no tratamento.</w:t>
      </w:r>
    </w:p>
    <w:p w14:paraId="456BA79F">
      <w:pPr>
        <w:pStyle w:val="278"/>
        <w:numPr>
          <w:ilvl w:val="0"/>
          <w:numId w:val="0"/>
        </w:numPr>
        <w:spacing w:before="0" w:line="276" w:lineRule="auto"/>
        <w:ind w:left="0" w:leftChars="0" w:firstLine="0" w:firstLineChars="0"/>
        <w:rPr>
          <w:rFonts w:hint="default" w:ascii="Arial" w:hAnsi="Arial" w:cs="Arial"/>
          <w:b w:val="0"/>
          <w:sz w:val="18"/>
          <w:szCs w:val="18"/>
        </w:rPr>
      </w:pPr>
      <w:r>
        <w:rPr>
          <w:rFonts w:hint="default" w:ascii="Arial" w:hAnsi="Arial" w:cs="Arial"/>
          <w:b w:val="0"/>
          <w:sz w:val="18"/>
          <w:szCs w:val="18"/>
        </w:rPr>
        <w:t>e) Armazenamento e Distribuição: Os medicamentos devem ser entregues em condições adequadas de armazenamento, conforme as especificações técnicas de cada produto.</w:t>
      </w:r>
    </w:p>
    <w:p w14:paraId="6C69A2A1">
      <w:pPr>
        <w:pStyle w:val="278"/>
        <w:numPr>
          <w:ilvl w:val="0"/>
          <w:numId w:val="0"/>
        </w:numPr>
        <w:spacing w:before="0" w:line="276" w:lineRule="auto"/>
        <w:ind w:left="0" w:leftChars="0" w:firstLine="0" w:firstLineChars="0"/>
        <w:rPr>
          <w:rFonts w:hint="default" w:ascii="Arial" w:hAnsi="Arial" w:cs="Arial"/>
          <w:b w:val="0"/>
          <w:sz w:val="18"/>
          <w:szCs w:val="18"/>
        </w:rPr>
      </w:pPr>
      <w:r>
        <w:rPr>
          <w:rFonts w:hint="default" w:ascii="Arial" w:hAnsi="Arial" w:cs="Arial"/>
          <w:sz w:val="18"/>
          <w:szCs w:val="18"/>
        </w:rPr>
        <w:t>f)</w:t>
      </w:r>
      <w:r>
        <w:rPr>
          <w:rFonts w:hint="default" w:ascii="Arial" w:hAnsi="Arial" w:cs="Arial"/>
          <w:b w:val="0"/>
          <w:sz w:val="18"/>
          <w:szCs w:val="18"/>
        </w:rPr>
        <w:t xml:space="preserve"> Desconto sobre o Preço Máximo de Venda ao Governo (PMVG): A contratação será realizada com base no maior percentual de desconto por item sobre a tabela CMED/Anvisa no PMVG, garantindo economicidade.</w:t>
      </w:r>
    </w:p>
    <w:p w14:paraId="6F450590">
      <w:pPr>
        <w:pStyle w:val="278"/>
        <w:numPr>
          <w:ilvl w:val="0"/>
          <w:numId w:val="0"/>
        </w:numPr>
        <w:spacing w:before="0" w:line="276" w:lineRule="auto"/>
        <w:ind w:left="0" w:leftChars="0" w:firstLine="0" w:firstLineChars="0"/>
        <w:rPr>
          <w:rFonts w:hint="default" w:ascii="Arial" w:hAnsi="Arial" w:cs="Arial"/>
          <w:b w:val="0"/>
          <w:sz w:val="18"/>
          <w:szCs w:val="18"/>
        </w:rPr>
      </w:pPr>
      <w:r>
        <w:rPr>
          <w:rFonts w:hint="default" w:ascii="Arial" w:hAnsi="Arial" w:cs="Arial"/>
          <w:sz w:val="18"/>
          <w:szCs w:val="18"/>
        </w:rPr>
        <w:t xml:space="preserve">g) </w:t>
      </w:r>
      <w:r>
        <w:rPr>
          <w:rFonts w:hint="default" w:ascii="Arial" w:hAnsi="Arial" w:cs="Arial"/>
          <w:b w:val="0"/>
          <w:sz w:val="18"/>
          <w:szCs w:val="18"/>
        </w:rPr>
        <w:t>Os produtos deverão ter validade de 2 (dois) anos ou no mínimo 80% (oitenta por cento) do prazo de validade constante na data da fabricação, produção ou envase, contados a partir da data de entrega/recebimento do produto no município.</w:t>
      </w:r>
    </w:p>
    <w:p w14:paraId="16EE640E">
      <w:pPr>
        <w:tabs>
          <w:tab w:val="left" w:pos="567"/>
        </w:tabs>
        <w:suppressAutoHyphens/>
        <w:spacing w:after="0" w:line="276" w:lineRule="auto"/>
        <w:ind w:left="0" w:leftChars="0" w:firstLine="0" w:firstLineChars="0"/>
        <w:jc w:val="both"/>
        <w:rPr>
          <w:rFonts w:hint="default" w:ascii="Arial" w:hAnsi="Arial" w:eastAsia="Times New Roman" w:cs="Arial"/>
          <w:color w:val="000000"/>
          <w:sz w:val="18"/>
          <w:szCs w:val="18"/>
        </w:rPr>
      </w:pPr>
      <w:r>
        <w:rPr>
          <w:rFonts w:hint="default" w:ascii="Arial" w:hAnsi="Arial" w:cs="Arial"/>
          <w:b/>
          <w:sz w:val="18"/>
          <w:szCs w:val="18"/>
        </w:rPr>
        <w:t>6.2.</w:t>
      </w:r>
      <w:r>
        <w:rPr>
          <w:rFonts w:hint="default" w:ascii="Arial" w:hAnsi="Arial" w:cs="Arial"/>
          <w:sz w:val="18"/>
          <w:szCs w:val="18"/>
        </w:rPr>
        <w:t xml:space="preserve"> As entregas deverão ocorrer mediante prévio envio da Solicitação de Fornecimento por parte da CONTRATANTE à CONTRATADA onde a mesma deverá respeitar o solicitado e realizar a execução dos serviços.</w:t>
      </w:r>
    </w:p>
    <w:p w14:paraId="375E4352">
      <w:pPr>
        <w:tabs>
          <w:tab w:val="left" w:pos="426"/>
        </w:tabs>
        <w:spacing w:after="0" w:line="276" w:lineRule="auto"/>
        <w:ind w:left="0" w:leftChars="0" w:firstLine="0" w:firstLineChars="0"/>
        <w:jc w:val="both"/>
        <w:rPr>
          <w:rFonts w:hint="default" w:ascii="Arial" w:hAnsi="Arial" w:eastAsia="Times New Roman" w:cs="Arial"/>
          <w:b/>
          <w:color w:val="000000"/>
          <w:sz w:val="18"/>
          <w:szCs w:val="18"/>
        </w:rPr>
      </w:pPr>
      <w:r>
        <w:rPr>
          <w:rFonts w:hint="default" w:ascii="Arial" w:hAnsi="Arial" w:eastAsia="Times New Roman" w:cs="Arial"/>
          <w:b/>
          <w:color w:val="000000"/>
          <w:sz w:val="18"/>
          <w:szCs w:val="18"/>
        </w:rPr>
        <w:t xml:space="preserve">6.3. </w:t>
      </w:r>
      <w:r>
        <w:rPr>
          <w:rFonts w:hint="default" w:ascii="Arial" w:hAnsi="Arial" w:eastAsia="Times New Roman" w:cs="Arial"/>
          <w:color w:val="000000"/>
          <w:sz w:val="18"/>
          <w:szCs w:val="18"/>
        </w:rPr>
        <w:t xml:space="preserve"> O(s) itens(s) será(ão) rigorosamente avaliado(s) no ato da entrega nos quesitos qualidade, caso o(s) serviço(s) esteja(m) em desacordo ao que foi licitado, as notas não serão assinadas.</w:t>
      </w:r>
    </w:p>
    <w:p w14:paraId="08E2BCAB">
      <w:pPr>
        <w:tabs>
          <w:tab w:val="left" w:pos="567"/>
        </w:tabs>
        <w:spacing w:after="0" w:line="276" w:lineRule="auto"/>
        <w:ind w:left="0" w:leftChars="0" w:firstLine="0" w:firstLineChars="0"/>
        <w:jc w:val="both"/>
        <w:rPr>
          <w:rFonts w:hint="default" w:ascii="Arial" w:hAnsi="Arial" w:eastAsia="Times New Roman" w:cs="Arial"/>
          <w:color w:val="000000"/>
          <w:sz w:val="18"/>
          <w:szCs w:val="18"/>
          <w:u w:val="single"/>
        </w:rPr>
      </w:pPr>
      <w:r>
        <w:rPr>
          <w:rFonts w:hint="default" w:ascii="Arial" w:hAnsi="Arial" w:cs="Arial"/>
          <w:b/>
          <w:color w:val="000000"/>
          <w:sz w:val="18"/>
          <w:szCs w:val="18"/>
          <w:shd w:val="clear" w:color="auto" w:fill="FFFFFF"/>
        </w:rPr>
        <w:t xml:space="preserve">6.4. </w:t>
      </w:r>
      <w:r>
        <w:rPr>
          <w:rFonts w:hint="default" w:ascii="Arial" w:hAnsi="Arial" w:eastAsia="Times New Roman" w:cs="Arial"/>
          <w:color w:val="000000"/>
          <w:sz w:val="18"/>
          <w:szCs w:val="18"/>
        </w:rPr>
        <w:t>As notas fiscais deverão ser assinadas pelo funcionário responsável pelo recebimento.</w:t>
      </w:r>
    </w:p>
    <w:p w14:paraId="17C347ED">
      <w:pPr>
        <w:spacing w:after="0" w:line="276" w:lineRule="auto"/>
        <w:ind w:left="0" w:leftChars="0" w:firstLine="0" w:firstLineChars="0"/>
        <w:jc w:val="both"/>
        <w:rPr>
          <w:rFonts w:hint="default" w:ascii="Arial" w:hAnsi="Arial" w:eastAsia="Times New Roman" w:cs="Arial"/>
          <w:sz w:val="18"/>
          <w:szCs w:val="18"/>
        </w:rPr>
      </w:pPr>
      <w:r>
        <w:rPr>
          <w:rFonts w:hint="default" w:ascii="Arial" w:hAnsi="Arial" w:eastAsia="Times New Roman" w:cs="Arial"/>
          <w:b/>
          <w:sz w:val="18"/>
          <w:szCs w:val="18"/>
        </w:rPr>
        <w:t>6.5.</w:t>
      </w:r>
      <w:r>
        <w:rPr>
          <w:rFonts w:hint="default" w:ascii="Arial" w:hAnsi="Arial" w:eastAsia="Times New Roman" w:cs="Arial"/>
          <w:sz w:val="18"/>
          <w:szCs w:val="18"/>
        </w:rPr>
        <w:t xml:space="preserve"> O material deverá ser entregue adequadamente, de forma a permitir completa segurança durante o transporte.</w:t>
      </w:r>
    </w:p>
    <w:p w14:paraId="4ECBB63E">
      <w:pPr>
        <w:spacing w:after="0" w:line="276" w:lineRule="auto"/>
        <w:ind w:left="0" w:leftChars="0" w:firstLine="0" w:firstLineChars="0"/>
        <w:jc w:val="both"/>
        <w:rPr>
          <w:rFonts w:hint="default" w:ascii="Arial" w:hAnsi="Arial" w:eastAsia="Times New Roman" w:cs="Arial"/>
          <w:color w:val="000000"/>
          <w:sz w:val="18"/>
          <w:szCs w:val="18"/>
        </w:rPr>
      </w:pPr>
      <w:r>
        <w:rPr>
          <w:rFonts w:hint="default" w:ascii="Arial" w:hAnsi="Arial" w:eastAsia="Times New Roman" w:cs="Arial"/>
          <w:b/>
          <w:color w:val="000000"/>
          <w:sz w:val="18"/>
          <w:szCs w:val="18"/>
        </w:rPr>
        <w:t>6.6.</w:t>
      </w:r>
      <w:r>
        <w:rPr>
          <w:rFonts w:hint="default" w:ascii="Arial" w:hAnsi="Arial" w:eastAsia="Times New Roman" w:cs="Arial"/>
          <w:color w:val="000000"/>
          <w:sz w:val="18"/>
          <w:szCs w:val="18"/>
        </w:rPr>
        <w:t xml:space="preserve"> Os itens poderão ser rejeitados, no todo ou em parte, quando em desacordo com as especificações constantes neste Termo de Referência e na proposta, devendo ser substituídos no prazo de 5 (cinco) dias, a contar da notificação da contratada, às suas custas, sem prejuízo da aplicação das penalidades.</w:t>
      </w:r>
    </w:p>
    <w:p w14:paraId="6834FDC7">
      <w:pPr>
        <w:spacing w:after="0" w:line="276" w:lineRule="auto"/>
        <w:ind w:left="0" w:leftChars="0" w:firstLine="0" w:firstLineChars="0"/>
        <w:jc w:val="both"/>
        <w:rPr>
          <w:rFonts w:hint="default" w:ascii="Arial" w:hAnsi="Arial" w:cs="Arial"/>
          <w:color w:val="000000" w:themeColor="text1"/>
          <w:sz w:val="18"/>
          <w:szCs w:val="18"/>
          <w14:textFill>
            <w14:solidFill>
              <w14:schemeClr w14:val="tx1"/>
            </w14:solidFill>
          </w14:textFill>
        </w:rPr>
      </w:pPr>
      <w:r>
        <w:rPr>
          <w:rFonts w:hint="default" w:ascii="Arial" w:hAnsi="Arial" w:cs="Arial"/>
          <w:b/>
          <w:color w:val="000000" w:themeColor="text1"/>
          <w:sz w:val="18"/>
          <w:szCs w:val="18"/>
          <w14:textFill>
            <w14:solidFill>
              <w14:schemeClr w14:val="tx1"/>
            </w14:solidFill>
          </w14:textFill>
        </w:rPr>
        <w:t>6.7.</w:t>
      </w:r>
      <w:r>
        <w:rPr>
          <w:rFonts w:hint="default" w:ascii="Arial" w:hAnsi="Arial" w:cs="Arial"/>
          <w:color w:val="000000" w:themeColor="text1"/>
          <w:sz w:val="18"/>
          <w:szCs w:val="18"/>
          <w14:textFill>
            <w14:solidFill>
              <w14:schemeClr w14:val="tx1"/>
            </w14:solidFill>
          </w14:textFill>
        </w:rPr>
        <w:t xml:space="preserve"> Os endereços e locais para entrega poderão sofrer alterações conforme determinação da contratante.</w:t>
      </w:r>
    </w:p>
    <w:p w14:paraId="6676818D">
      <w:pPr>
        <w:spacing w:after="0" w:line="276" w:lineRule="auto"/>
        <w:ind w:left="0" w:leftChars="0" w:firstLine="0" w:firstLineChars="0"/>
        <w:jc w:val="both"/>
        <w:rPr>
          <w:rFonts w:hint="default" w:ascii="Arial" w:hAnsi="Arial" w:eastAsia="Times New Roman" w:cs="Arial"/>
          <w:sz w:val="18"/>
          <w:szCs w:val="18"/>
        </w:rPr>
      </w:pPr>
      <w:r>
        <w:rPr>
          <w:rFonts w:hint="default" w:ascii="Arial" w:hAnsi="Arial" w:eastAsia="Times New Roman" w:cs="Arial"/>
          <w:b/>
          <w:sz w:val="18"/>
          <w:szCs w:val="18"/>
        </w:rPr>
        <w:t xml:space="preserve">6.8. </w:t>
      </w:r>
      <w:r>
        <w:rPr>
          <w:rFonts w:hint="default" w:ascii="Arial" w:hAnsi="Arial" w:eastAsia="Times New Roman" w:cs="Arial"/>
          <w:sz w:val="18"/>
          <w:szCs w:val="18"/>
        </w:rPr>
        <w:t>Os locais de entrega serão informados no ato do envio das Solicitações de Fornecimento (e-mail direcionado ao fornecedor) ou descrito nas mesmas.</w:t>
      </w:r>
    </w:p>
    <w:p w14:paraId="2EFE0A33">
      <w:pPr>
        <w:spacing w:after="0" w:line="276" w:lineRule="auto"/>
        <w:ind w:left="0" w:leftChars="0" w:firstLine="0" w:firstLineChars="0"/>
        <w:jc w:val="both"/>
        <w:rPr>
          <w:rFonts w:hint="default" w:ascii="Arial" w:hAnsi="Arial" w:cs="Arial"/>
          <w:sz w:val="18"/>
          <w:szCs w:val="18"/>
        </w:rPr>
      </w:pPr>
      <w:r>
        <w:rPr>
          <w:rFonts w:hint="default" w:ascii="Arial" w:hAnsi="Arial" w:eastAsia="Times New Roman" w:cs="Arial"/>
          <w:b/>
          <w:sz w:val="18"/>
          <w:szCs w:val="18"/>
        </w:rPr>
        <w:t>6.9.</w:t>
      </w:r>
      <w:r>
        <w:rPr>
          <w:rFonts w:hint="default" w:ascii="Arial" w:hAnsi="Arial" w:eastAsia="Times New Roman" w:cs="Arial"/>
          <w:sz w:val="18"/>
          <w:szCs w:val="18"/>
        </w:rPr>
        <w:t xml:space="preserve"> </w:t>
      </w:r>
      <w:r>
        <w:rPr>
          <w:rFonts w:hint="default" w:ascii="Arial" w:hAnsi="Arial" w:cs="Arial"/>
          <w:sz w:val="18"/>
          <w:szCs w:val="18"/>
        </w:rPr>
        <w:t>O horário de entrega será das 07:00 às 16:00 horas, exclusivamente em dias úteis.</w:t>
      </w:r>
    </w:p>
    <w:p w14:paraId="3E83FF5D">
      <w:pPr>
        <w:pStyle w:val="305"/>
        <w:numPr>
          <w:ilvl w:val="0"/>
          <w:numId w:val="22"/>
        </w:numPr>
        <w:ind w:left="0" w:leftChars="0" w:firstLine="0" w:firstLineChars="0"/>
        <w:rPr>
          <w:rFonts w:hint="default" w:ascii="Arial" w:hAnsi="Arial" w:cs="Arial"/>
          <w:sz w:val="18"/>
          <w:szCs w:val="18"/>
        </w:rPr>
      </w:pPr>
      <w:r>
        <w:rPr>
          <w:rFonts w:hint="default" w:ascii="Arial" w:hAnsi="Arial" w:cs="Arial"/>
          <w:sz w:val="18"/>
          <w:szCs w:val="18"/>
        </w:rPr>
        <w:t>Rua: José Gustavo Cohen, Nº 70, Bairro - Vila Tereza, Cidade de Cataguases – Minas Gerais, CEP: 36.772-014.</w:t>
      </w:r>
    </w:p>
    <w:p w14:paraId="15965017">
      <w:pPr>
        <w:spacing w:line="276" w:lineRule="auto"/>
        <w:ind w:left="0" w:leftChars="0" w:firstLine="0" w:firstLineChars="0"/>
        <w:jc w:val="both"/>
        <w:rPr>
          <w:rFonts w:hint="default" w:ascii="Arial" w:hAnsi="Arial" w:eastAsia="Times New Roman" w:cs="Arial"/>
          <w:b/>
          <w:color w:val="000000"/>
          <w:sz w:val="18"/>
          <w:szCs w:val="18"/>
        </w:rPr>
      </w:pPr>
      <w:r>
        <w:rPr>
          <w:rFonts w:hint="default" w:ascii="Arial" w:hAnsi="Arial" w:eastAsia="Times New Roman" w:cs="Arial"/>
          <w:b/>
          <w:color w:val="000000"/>
          <w:sz w:val="18"/>
          <w:szCs w:val="18"/>
        </w:rPr>
        <w:t xml:space="preserve">7. </w:t>
      </w:r>
      <w:r>
        <w:rPr>
          <w:rFonts w:hint="default" w:ascii="Arial" w:hAnsi="Arial" w:eastAsia="Times New Roman" w:cs="Arial"/>
          <w:color w:val="000000"/>
          <w:sz w:val="18"/>
          <w:szCs w:val="18"/>
        </w:rPr>
        <w:t xml:space="preserve"> </w:t>
      </w:r>
      <w:r>
        <w:rPr>
          <w:rFonts w:hint="default" w:ascii="Arial" w:hAnsi="Arial" w:eastAsia="Times New Roman" w:cs="Arial"/>
          <w:b/>
          <w:color w:val="000000"/>
          <w:sz w:val="18"/>
          <w:szCs w:val="18"/>
        </w:rPr>
        <w:t>MODELO DE GESTÃO DO CONTRATO</w:t>
      </w:r>
    </w:p>
    <w:p w14:paraId="15AAC05C">
      <w:pPr>
        <w:spacing w:line="276" w:lineRule="auto"/>
        <w:ind w:left="0" w:leftChars="0" w:firstLine="0" w:firstLineChars="0"/>
        <w:jc w:val="both"/>
        <w:rPr>
          <w:rFonts w:hint="default" w:ascii="Arial" w:hAnsi="Arial" w:eastAsia="Times New Roman" w:cs="Arial"/>
          <w:b/>
          <w:color w:val="000000"/>
          <w:sz w:val="18"/>
          <w:szCs w:val="18"/>
        </w:rPr>
      </w:pPr>
      <w:r>
        <w:rPr>
          <w:rFonts w:hint="default" w:ascii="Arial" w:hAnsi="Arial" w:eastAsia="Times New Roman" w:cs="Arial"/>
          <w:b/>
          <w:color w:val="000000"/>
          <w:sz w:val="18"/>
          <w:szCs w:val="18"/>
        </w:rPr>
        <w:t xml:space="preserve">7.1.  </w:t>
      </w:r>
      <w:r>
        <w:rPr>
          <w:rFonts w:hint="default" w:ascii="Arial" w:hAnsi="Arial" w:eastAsia="Times New Roman" w:cs="Arial"/>
          <w:b/>
          <w:color w:val="000000"/>
          <w:sz w:val="18"/>
          <w:szCs w:val="18"/>
        </w:rPr>
        <w:tab/>
      </w:r>
      <w:r>
        <w:rPr>
          <w:rFonts w:hint="default" w:ascii="Arial" w:hAnsi="Arial" w:eastAsia="Times New Roman" w:cs="Arial"/>
          <w:b/>
          <w:color w:val="000000"/>
          <w:sz w:val="18"/>
          <w:szCs w:val="18"/>
        </w:rPr>
        <w:t>Das Obrigações da Contratada</w:t>
      </w:r>
    </w:p>
    <w:p w14:paraId="2B5D3914">
      <w:pPr>
        <w:spacing w:after="0" w:line="276" w:lineRule="auto"/>
        <w:ind w:left="0" w:leftChars="0" w:firstLine="0" w:firstLineChars="0"/>
        <w:jc w:val="both"/>
        <w:rPr>
          <w:rFonts w:hint="default" w:ascii="Arial" w:hAnsi="Arial" w:cs="Arial"/>
          <w:sz w:val="18"/>
          <w:szCs w:val="18"/>
        </w:rPr>
      </w:pPr>
      <w:r>
        <w:rPr>
          <w:rFonts w:hint="default" w:ascii="Arial" w:hAnsi="Arial" w:cs="Arial"/>
          <w:b/>
          <w:sz w:val="18"/>
          <w:szCs w:val="18"/>
        </w:rPr>
        <w:t xml:space="preserve">7.1.1. </w:t>
      </w:r>
      <w:r>
        <w:rPr>
          <w:rFonts w:hint="default" w:ascii="Arial" w:hAnsi="Arial" w:cs="Arial"/>
          <w:sz w:val="18"/>
          <w:szCs w:val="18"/>
        </w:rPr>
        <w:t xml:space="preserve">A CONTRATADA deverá entregar, no local indicado, os produtos adquiridos, no prazo de 15 (quinze) dias corridos contados a partir da data de recebimento da Solicitação de Fornecimento, </w:t>
      </w:r>
      <w:r>
        <w:rPr>
          <w:rFonts w:hint="default" w:ascii="Arial" w:hAnsi="Arial" w:eastAsia="Times New Roman" w:cs="Arial"/>
          <w:sz w:val="18"/>
          <w:szCs w:val="18"/>
        </w:rPr>
        <w:t xml:space="preserve">devendo ser entregues no endereço informado pelo setor requisitante. </w:t>
      </w:r>
    </w:p>
    <w:p w14:paraId="2E01F932">
      <w:pPr>
        <w:pStyle w:val="306"/>
        <w:numPr>
          <w:ilvl w:val="0"/>
          <w:numId w:val="0"/>
        </w:numPr>
        <w:spacing w:before="0" w:after="0"/>
        <w:ind w:left="0" w:leftChars="0" w:firstLine="0" w:firstLineChars="0"/>
        <w:rPr>
          <w:rFonts w:hint="default" w:ascii="Arial" w:hAnsi="Arial" w:cs="Arial"/>
          <w:sz w:val="18"/>
          <w:szCs w:val="18"/>
        </w:rPr>
      </w:pPr>
      <w:r>
        <w:rPr>
          <w:rFonts w:hint="default" w:ascii="Arial" w:hAnsi="Arial" w:cs="Arial"/>
          <w:b/>
          <w:sz w:val="18"/>
          <w:szCs w:val="18"/>
        </w:rPr>
        <w:t>7.1.2.</w:t>
      </w:r>
      <w:r>
        <w:rPr>
          <w:rFonts w:hint="default" w:ascii="Arial" w:hAnsi="Arial" w:cs="Arial"/>
          <w:sz w:val="18"/>
          <w:szCs w:val="18"/>
        </w:rPr>
        <w:t xml:space="preserve"> A CONTRATADA deverá fornecer o objeto segundo a descrição do produto licitado, nas quantidades descriminadas na Solicitação de Fornecimento enviada previamente.</w:t>
      </w:r>
    </w:p>
    <w:p w14:paraId="6A14DF23">
      <w:pPr>
        <w:spacing w:after="0" w:line="276" w:lineRule="auto"/>
        <w:ind w:left="0" w:leftChars="0" w:firstLine="0" w:firstLineChars="0"/>
        <w:jc w:val="both"/>
        <w:rPr>
          <w:rFonts w:hint="default" w:ascii="Arial" w:hAnsi="Arial" w:cs="Arial"/>
          <w:sz w:val="18"/>
          <w:szCs w:val="18"/>
        </w:rPr>
      </w:pPr>
      <w:r>
        <w:rPr>
          <w:rFonts w:hint="default" w:ascii="Arial" w:hAnsi="Arial" w:cs="Arial"/>
          <w:b/>
          <w:sz w:val="18"/>
          <w:szCs w:val="18"/>
        </w:rPr>
        <w:t>7.1.3.</w:t>
      </w:r>
      <w:r>
        <w:rPr>
          <w:rFonts w:hint="default" w:ascii="Arial" w:hAnsi="Arial" w:cs="Arial"/>
          <w:sz w:val="18"/>
          <w:szCs w:val="18"/>
        </w:rPr>
        <w:t xml:space="preserve"> A emissão do recebimento definitivo não eximirá o fornecedor de suas responsabilidades, nem invalidará ou comprometerá qualquer reclamação que o órgão contratante venha a fazer, baseada na existência de produto inadequado ou defeituoso. </w:t>
      </w:r>
    </w:p>
    <w:p w14:paraId="692514A5">
      <w:pPr>
        <w:spacing w:after="0" w:line="276" w:lineRule="auto"/>
        <w:ind w:left="0" w:leftChars="0" w:firstLine="0" w:firstLineChars="0"/>
        <w:jc w:val="both"/>
        <w:rPr>
          <w:rFonts w:hint="default" w:ascii="Arial" w:hAnsi="Arial" w:cs="Arial"/>
          <w:sz w:val="18"/>
          <w:szCs w:val="18"/>
        </w:rPr>
      </w:pPr>
      <w:r>
        <w:rPr>
          <w:rFonts w:hint="default" w:ascii="Arial" w:hAnsi="Arial" w:cs="Arial"/>
          <w:b/>
          <w:sz w:val="18"/>
          <w:szCs w:val="18"/>
        </w:rPr>
        <w:t>7.1.4.</w:t>
      </w:r>
      <w:r>
        <w:rPr>
          <w:rFonts w:hint="default" w:ascii="Arial" w:hAnsi="Arial" w:cs="Arial"/>
          <w:sz w:val="18"/>
          <w:szCs w:val="18"/>
        </w:rPr>
        <w:t xml:space="preserve"> A contratada deverá arcar com todos os ônus referentes a transportes e fretes necessários a execução do objeto. </w:t>
      </w:r>
    </w:p>
    <w:p w14:paraId="0E54D589">
      <w:pPr>
        <w:spacing w:after="0" w:line="276" w:lineRule="auto"/>
        <w:ind w:left="0" w:leftChars="0" w:firstLine="0" w:firstLineChars="0"/>
        <w:jc w:val="both"/>
        <w:rPr>
          <w:rFonts w:hint="default" w:ascii="Arial" w:hAnsi="Arial" w:cs="Arial"/>
          <w:sz w:val="18"/>
          <w:szCs w:val="18"/>
        </w:rPr>
      </w:pPr>
      <w:r>
        <w:rPr>
          <w:rFonts w:hint="default" w:ascii="Arial" w:hAnsi="Arial" w:cs="Arial"/>
          <w:b/>
          <w:sz w:val="18"/>
          <w:szCs w:val="18"/>
        </w:rPr>
        <w:t>7.1.5.</w:t>
      </w:r>
      <w:r>
        <w:rPr>
          <w:rFonts w:hint="default" w:ascii="Arial" w:hAnsi="Arial" w:cs="Arial"/>
          <w:sz w:val="18"/>
          <w:szCs w:val="18"/>
        </w:rPr>
        <w:t xml:space="preserve"> A contratada deverá prestar informações e esclarecimentos que venham a ser solicitados pela contratante.</w:t>
      </w:r>
    </w:p>
    <w:p w14:paraId="5D001160">
      <w:pPr>
        <w:spacing w:after="0" w:line="276" w:lineRule="auto"/>
        <w:ind w:left="0" w:leftChars="0" w:firstLine="0" w:firstLineChars="0"/>
        <w:jc w:val="both"/>
        <w:rPr>
          <w:rFonts w:hint="default" w:ascii="Arial" w:hAnsi="Arial" w:eastAsia="Times New Roman" w:cs="Arial"/>
          <w:color w:val="000000"/>
          <w:sz w:val="18"/>
          <w:szCs w:val="18"/>
        </w:rPr>
      </w:pPr>
      <w:r>
        <w:rPr>
          <w:rFonts w:hint="default" w:ascii="Arial" w:hAnsi="Arial" w:eastAsia="Times New Roman" w:cs="Arial"/>
          <w:b/>
          <w:color w:val="000000"/>
          <w:sz w:val="18"/>
          <w:szCs w:val="18"/>
        </w:rPr>
        <w:t>7.1.6.</w:t>
      </w:r>
      <w:r>
        <w:rPr>
          <w:rFonts w:hint="default" w:ascii="Arial" w:hAnsi="Arial" w:eastAsia="Times New Roman" w:cs="Arial"/>
          <w:color w:val="000000"/>
          <w:sz w:val="18"/>
          <w:szCs w:val="18"/>
        </w:rPr>
        <w:t xml:space="preserve"> Assumir a responsabilidade pelos encargos fiscais e comerciais resultantes da adjudicação desta licitação;</w:t>
      </w:r>
    </w:p>
    <w:p w14:paraId="68F18DA6">
      <w:pPr>
        <w:spacing w:after="0" w:line="276" w:lineRule="auto"/>
        <w:ind w:left="0" w:leftChars="0" w:firstLine="0" w:firstLineChars="0"/>
        <w:jc w:val="both"/>
        <w:rPr>
          <w:rFonts w:hint="default" w:ascii="Arial" w:hAnsi="Arial" w:eastAsia="Times New Roman" w:cs="Arial"/>
          <w:color w:val="000000"/>
          <w:sz w:val="18"/>
          <w:szCs w:val="18"/>
        </w:rPr>
      </w:pPr>
      <w:r>
        <w:rPr>
          <w:rFonts w:hint="default" w:ascii="Arial" w:hAnsi="Arial" w:eastAsia="Times New Roman" w:cs="Arial"/>
          <w:b/>
          <w:color w:val="000000"/>
          <w:sz w:val="18"/>
          <w:szCs w:val="18"/>
        </w:rPr>
        <w:t>7.1.7.</w:t>
      </w:r>
      <w:r>
        <w:rPr>
          <w:rFonts w:hint="default" w:ascii="Arial" w:hAnsi="Arial" w:eastAsia="Times New Roman" w:cs="Arial"/>
          <w:color w:val="000000"/>
          <w:sz w:val="18"/>
          <w:szCs w:val="18"/>
        </w:rPr>
        <w:t xml:space="preserve"> Submeter-se à fiscalização da contratante, através do setor competente, para verificação da qualidade dos itens, orientando, fiscalizando e intervindo ao seu exclusivo interesse, com a finalidade de garantir o exato cumprimento das condições pactuadas;</w:t>
      </w:r>
    </w:p>
    <w:p w14:paraId="559EC206">
      <w:pPr>
        <w:spacing w:after="0" w:line="276" w:lineRule="auto"/>
        <w:ind w:left="0" w:leftChars="0" w:firstLine="0" w:firstLineChars="0"/>
        <w:jc w:val="both"/>
        <w:rPr>
          <w:rFonts w:hint="default" w:ascii="Arial" w:hAnsi="Arial" w:eastAsia="Times New Roman" w:cs="Arial"/>
          <w:color w:val="000000"/>
          <w:sz w:val="18"/>
          <w:szCs w:val="18"/>
        </w:rPr>
      </w:pPr>
      <w:r>
        <w:rPr>
          <w:rFonts w:hint="default" w:ascii="Arial" w:hAnsi="Arial" w:eastAsia="Times New Roman" w:cs="Arial"/>
          <w:b/>
          <w:color w:val="000000"/>
          <w:sz w:val="18"/>
          <w:szCs w:val="18"/>
        </w:rPr>
        <w:t>7.1.8.</w:t>
      </w:r>
      <w:r>
        <w:rPr>
          <w:rFonts w:hint="default" w:ascii="Arial" w:hAnsi="Arial" w:eastAsia="Times New Roman" w:cs="Arial"/>
          <w:color w:val="000000"/>
          <w:sz w:val="18"/>
          <w:szCs w:val="18"/>
        </w:rPr>
        <w:t xml:space="preserve">  Reparar, corrigir, remover, reconstruir ou substituir, às suas expensas, no todo ou em parte, o objeto deste Contrato, em que se verificarem vícios, defeitos ou incorreções resultantes da entrega.</w:t>
      </w:r>
    </w:p>
    <w:p w14:paraId="03660509">
      <w:pPr>
        <w:spacing w:after="0" w:line="276" w:lineRule="auto"/>
        <w:ind w:left="0" w:leftChars="0" w:firstLine="0" w:firstLineChars="0"/>
        <w:jc w:val="both"/>
        <w:rPr>
          <w:rFonts w:hint="default" w:ascii="Arial" w:hAnsi="Arial" w:eastAsia="Times New Roman" w:cs="Arial"/>
          <w:color w:val="000000"/>
          <w:sz w:val="18"/>
          <w:szCs w:val="18"/>
        </w:rPr>
      </w:pPr>
      <w:r>
        <w:rPr>
          <w:rFonts w:hint="default" w:ascii="Arial" w:hAnsi="Arial" w:eastAsia="Times New Roman" w:cs="Arial"/>
          <w:b/>
          <w:color w:val="000000"/>
          <w:sz w:val="18"/>
          <w:szCs w:val="18"/>
        </w:rPr>
        <w:t xml:space="preserve">7.1.9. </w:t>
      </w:r>
      <w:r>
        <w:rPr>
          <w:rFonts w:hint="default" w:ascii="Arial" w:hAnsi="Arial" w:eastAsia="Times New Roman" w:cs="Arial"/>
          <w:color w:val="000000"/>
          <w:sz w:val="18"/>
          <w:szCs w:val="18"/>
        </w:rPr>
        <w:t>Manter, durante toda a vigência deste contrato, em compatibilidade com as obrigações assumidas, todas as condições de habilitação e qualificação exigidas, devendo comunicar, imediatamente, qualquer alteração que possa comprometer a manutenção desta contratação, bem como substituir os documentos com prazo de validade expirado, mantendo assim, durante toda a execução do contrato, em compatibilidade com as obrigações assumidas, todas as condições de habilitação e qualificação exigidas.</w:t>
      </w:r>
    </w:p>
    <w:p w14:paraId="1FBC184E">
      <w:pPr>
        <w:spacing w:after="0" w:line="276" w:lineRule="auto"/>
        <w:ind w:left="0" w:leftChars="0" w:firstLine="0" w:firstLineChars="0"/>
        <w:jc w:val="both"/>
        <w:rPr>
          <w:rFonts w:hint="default" w:ascii="Arial" w:hAnsi="Arial" w:eastAsia="Times New Roman" w:cs="Arial"/>
          <w:sz w:val="18"/>
          <w:szCs w:val="18"/>
        </w:rPr>
      </w:pPr>
      <w:r>
        <w:rPr>
          <w:rFonts w:hint="default" w:ascii="Arial" w:hAnsi="Arial" w:eastAsia="Times New Roman" w:cs="Arial"/>
          <w:b/>
          <w:sz w:val="18"/>
          <w:szCs w:val="18"/>
        </w:rPr>
        <w:t xml:space="preserve">7.1.10. </w:t>
      </w:r>
      <w:r>
        <w:rPr>
          <w:rFonts w:hint="default" w:ascii="Arial" w:hAnsi="Arial" w:eastAsia="Times New Roman" w:cs="Arial"/>
          <w:sz w:val="18"/>
          <w:szCs w:val="18"/>
        </w:rPr>
        <w:t>Efetuar a entrega do objeto em perfeitas condições, conforme especificações, prazo e local constantes no Termo de Referência e seus anexos, acompanhado da respectiva nota fiscal, na qual constarão as indicações referentes, no mínimo, a: marca, fabricante, modelo, procedência e prazo de garantia ou validade.</w:t>
      </w:r>
    </w:p>
    <w:p w14:paraId="4972FB39">
      <w:pPr>
        <w:spacing w:after="0" w:line="276" w:lineRule="auto"/>
        <w:ind w:left="0" w:leftChars="0" w:firstLine="0" w:firstLineChars="0"/>
        <w:jc w:val="both"/>
        <w:rPr>
          <w:rFonts w:hint="default" w:ascii="Arial" w:hAnsi="Arial" w:eastAsia="Times New Roman" w:cs="Arial"/>
          <w:sz w:val="18"/>
          <w:szCs w:val="18"/>
        </w:rPr>
      </w:pPr>
      <w:r>
        <w:rPr>
          <w:rFonts w:hint="default" w:ascii="Arial" w:hAnsi="Arial" w:eastAsia="Times New Roman" w:cs="Arial"/>
          <w:b/>
          <w:color w:val="000000"/>
          <w:sz w:val="18"/>
          <w:szCs w:val="18"/>
        </w:rPr>
        <w:t>7.1.11.</w:t>
      </w:r>
      <w:r>
        <w:rPr>
          <w:rFonts w:hint="default" w:ascii="Arial" w:hAnsi="Arial" w:eastAsia="Times New Roman" w:cs="Arial"/>
          <w:color w:val="000000"/>
          <w:sz w:val="18"/>
          <w:szCs w:val="18"/>
        </w:rPr>
        <w:t xml:space="preserve"> Comunicar à </w:t>
      </w:r>
      <w:r>
        <w:rPr>
          <w:rFonts w:hint="default" w:ascii="Arial" w:hAnsi="Arial" w:eastAsia="Times New Roman" w:cs="Arial"/>
          <w:b/>
          <w:color w:val="000000"/>
          <w:sz w:val="18"/>
          <w:szCs w:val="18"/>
        </w:rPr>
        <w:t>CONTRATANTE</w:t>
      </w:r>
      <w:r>
        <w:rPr>
          <w:rFonts w:hint="default" w:ascii="Arial" w:hAnsi="Arial" w:eastAsia="Times New Roman" w:cs="Arial"/>
          <w:color w:val="000000"/>
          <w:sz w:val="18"/>
          <w:szCs w:val="18"/>
        </w:rPr>
        <w:t xml:space="preserve"> qualquer anormalidade de caráter urgente e prestar os esclarecimentos que julgarem-se necessários.</w:t>
      </w:r>
    </w:p>
    <w:p w14:paraId="7AEA8D2F">
      <w:pPr>
        <w:spacing w:line="276" w:lineRule="auto"/>
        <w:ind w:left="0" w:leftChars="0" w:firstLine="0" w:firstLineChars="0"/>
        <w:jc w:val="both"/>
        <w:rPr>
          <w:rFonts w:hint="default" w:ascii="Arial" w:hAnsi="Arial" w:eastAsia="Times New Roman" w:cs="Arial"/>
          <w:sz w:val="18"/>
          <w:szCs w:val="18"/>
        </w:rPr>
      </w:pPr>
      <w:r>
        <w:rPr>
          <w:rFonts w:hint="default" w:ascii="Arial" w:hAnsi="Arial" w:eastAsia="Times New Roman" w:cs="Arial"/>
          <w:b/>
          <w:sz w:val="18"/>
          <w:szCs w:val="18"/>
        </w:rPr>
        <w:t>7.1.12.</w:t>
      </w:r>
      <w:r>
        <w:rPr>
          <w:rFonts w:hint="default" w:ascii="Arial" w:hAnsi="Arial" w:eastAsia="Times New Roman" w:cs="Arial"/>
          <w:sz w:val="18"/>
          <w:szCs w:val="18"/>
        </w:rPr>
        <w:t xml:space="preserve"> Deverá conter na Nota Fiscal, o número da Solicitação de Fornecimento ou número de empenho referente ao produto.</w:t>
      </w:r>
    </w:p>
    <w:p w14:paraId="2D02BF28">
      <w:pPr>
        <w:spacing w:line="276" w:lineRule="auto"/>
        <w:ind w:left="0" w:leftChars="0" w:firstLine="0" w:firstLineChars="0"/>
        <w:jc w:val="both"/>
        <w:rPr>
          <w:rFonts w:hint="default" w:ascii="Arial" w:hAnsi="Arial" w:eastAsia="Times New Roman" w:cs="Arial"/>
          <w:sz w:val="18"/>
          <w:szCs w:val="18"/>
        </w:rPr>
      </w:pPr>
    </w:p>
    <w:p w14:paraId="2A467A19">
      <w:pPr>
        <w:pStyle w:val="303"/>
        <w:numPr>
          <w:ilvl w:val="0"/>
          <w:numId w:val="0"/>
        </w:numPr>
        <w:spacing w:after="0" w:line="360" w:lineRule="auto"/>
        <w:ind w:left="0" w:leftChars="0" w:firstLine="0" w:firstLineChars="0"/>
        <w:rPr>
          <w:rFonts w:hint="default" w:ascii="Arial" w:hAnsi="Arial" w:cs="Arial"/>
          <w:b/>
          <w:sz w:val="18"/>
          <w:szCs w:val="18"/>
        </w:rPr>
      </w:pPr>
      <w:r>
        <w:rPr>
          <w:rFonts w:hint="default" w:ascii="Arial" w:hAnsi="Arial" w:cs="Arial"/>
          <w:b/>
          <w:sz w:val="18"/>
          <w:szCs w:val="18"/>
        </w:rPr>
        <w:t>7.2. Das Obrigações da Contratante</w:t>
      </w:r>
    </w:p>
    <w:p w14:paraId="4E5BB30E">
      <w:pPr>
        <w:spacing w:after="0" w:line="276" w:lineRule="auto"/>
        <w:ind w:left="0" w:leftChars="0" w:firstLine="0" w:firstLineChars="0"/>
        <w:jc w:val="both"/>
        <w:rPr>
          <w:rFonts w:hint="default" w:ascii="Arial" w:hAnsi="Arial" w:eastAsia="Times New Roman" w:cs="Arial"/>
          <w:color w:val="000000"/>
          <w:sz w:val="18"/>
          <w:szCs w:val="18"/>
        </w:rPr>
      </w:pPr>
      <w:r>
        <w:rPr>
          <w:rFonts w:hint="default" w:ascii="Arial" w:hAnsi="Arial" w:eastAsia="Times New Roman" w:cs="Arial"/>
          <w:b/>
          <w:color w:val="000000"/>
          <w:sz w:val="18"/>
          <w:szCs w:val="18"/>
        </w:rPr>
        <w:t xml:space="preserve">7.2.1. </w:t>
      </w:r>
      <w:r>
        <w:rPr>
          <w:rFonts w:hint="default" w:ascii="Arial" w:hAnsi="Arial" w:eastAsia="Times New Roman" w:cs="Arial"/>
          <w:color w:val="000000"/>
          <w:sz w:val="18"/>
          <w:szCs w:val="18"/>
        </w:rPr>
        <w:t>Promover o acompanhamento e a fiscalização da entrega do objeto da aquisição.</w:t>
      </w:r>
    </w:p>
    <w:p w14:paraId="2E277041">
      <w:pPr>
        <w:spacing w:after="0" w:line="276" w:lineRule="auto"/>
        <w:ind w:left="0" w:leftChars="0" w:firstLine="0" w:firstLineChars="0"/>
        <w:jc w:val="both"/>
        <w:rPr>
          <w:rFonts w:hint="default" w:ascii="Arial" w:hAnsi="Arial" w:eastAsia="Times New Roman" w:cs="Arial"/>
          <w:color w:val="000000"/>
          <w:sz w:val="18"/>
          <w:szCs w:val="18"/>
        </w:rPr>
      </w:pPr>
      <w:r>
        <w:rPr>
          <w:rFonts w:hint="default" w:ascii="Arial" w:hAnsi="Arial" w:eastAsia="Times New Roman" w:cs="Arial"/>
          <w:b/>
          <w:color w:val="000000"/>
          <w:sz w:val="18"/>
          <w:szCs w:val="18"/>
        </w:rPr>
        <w:t xml:space="preserve">7.2.2. </w:t>
      </w:r>
      <w:r>
        <w:rPr>
          <w:rFonts w:hint="default" w:ascii="Arial" w:hAnsi="Arial" w:eastAsia="Times New Roman" w:cs="Arial"/>
          <w:color w:val="000000"/>
          <w:sz w:val="18"/>
          <w:szCs w:val="18"/>
        </w:rPr>
        <w:t>Prestar informações, relativas ao objeto da aquisição, que venham a ser solicitadas pela licitante vencedora.</w:t>
      </w:r>
    </w:p>
    <w:p w14:paraId="393FF1B5">
      <w:pPr>
        <w:spacing w:after="0" w:line="276" w:lineRule="auto"/>
        <w:ind w:left="0" w:leftChars="0" w:firstLine="0" w:firstLineChars="0"/>
        <w:jc w:val="both"/>
        <w:rPr>
          <w:rFonts w:hint="default" w:ascii="Arial" w:hAnsi="Arial" w:eastAsia="Times New Roman" w:cs="Arial"/>
          <w:color w:val="000000"/>
          <w:sz w:val="18"/>
          <w:szCs w:val="18"/>
        </w:rPr>
      </w:pPr>
      <w:r>
        <w:rPr>
          <w:rFonts w:hint="default" w:ascii="Arial" w:hAnsi="Arial" w:eastAsia="Times New Roman" w:cs="Arial"/>
          <w:b/>
          <w:color w:val="000000"/>
          <w:sz w:val="18"/>
          <w:szCs w:val="18"/>
        </w:rPr>
        <w:t>7.2.3.</w:t>
      </w:r>
      <w:r>
        <w:rPr>
          <w:rFonts w:hint="default" w:ascii="Arial" w:hAnsi="Arial" w:eastAsia="Times New Roman" w:cs="Arial"/>
          <w:color w:val="000000"/>
          <w:sz w:val="18"/>
          <w:szCs w:val="18"/>
        </w:rPr>
        <w:t xml:space="preserve"> Efetuar o pagamento do valor constante na nota fiscal/fatura, em até 30 (trinta) dias consecutivos após o recebimento da mesma, devidamente atestada.</w:t>
      </w:r>
    </w:p>
    <w:p w14:paraId="0C855F76">
      <w:pPr>
        <w:spacing w:after="0" w:line="276" w:lineRule="auto"/>
        <w:ind w:left="0" w:leftChars="0" w:firstLine="0" w:firstLineChars="0"/>
        <w:jc w:val="both"/>
        <w:rPr>
          <w:rFonts w:hint="default" w:ascii="Arial" w:hAnsi="Arial" w:eastAsia="Times New Roman" w:cs="Arial"/>
          <w:color w:val="000000"/>
          <w:sz w:val="18"/>
          <w:szCs w:val="18"/>
        </w:rPr>
      </w:pPr>
      <w:r>
        <w:rPr>
          <w:rFonts w:hint="default" w:ascii="Arial" w:hAnsi="Arial" w:eastAsia="Times New Roman" w:cs="Arial"/>
          <w:b/>
          <w:color w:val="000000"/>
          <w:sz w:val="18"/>
          <w:szCs w:val="18"/>
        </w:rPr>
        <w:t>7.2.4.</w:t>
      </w:r>
      <w:r>
        <w:rPr>
          <w:rFonts w:hint="default" w:ascii="Arial" w:hAnsi="Arial" w:eastAsia="Times New Roman" w:cs="Arial"/>
          <w:color w:val="000000"/>
          <w:sz w:val="18"/>
          <w:szCs w:val="18"/>
        </w:rPr>
        <w:t xml:space="preserve"> Rejeitar o (s) produto (s) e/ou que não satisfizerem aos padrões exigidos nas especificações e recomendações da contratante.</w:t>
      </w:r>
    </w:p>
    <w:p w14:paraId="770648C4">
      <w:pPr>
        <w:spacing w:after="0" w:line="276" w:lineRule="auto"/>
        <w:ind w:left="0" w:leftChars="0" w:firstLine="0" w:firstLineChars="0"/>
        <w:jc w:val="both"/>
        <w:rPr>
          <w:rFonts w:hint="default" w:ascii="Arial" w:hAnsi="Arial" w:eastAsia="Times New Roman" w:cs="Arial"/>
          <w:color w:val="000000"/>
          <w:sz w:val="18"/>
          <w:szCs w:val="18"/>
        </w:rPr>
      </w:pPr>
      <w:r>
        <w:rPr>
          <w:rFonts w:hint="default" w:ascii="Arial" w:hAnsi="Arial" w:eastAsia="Times New Roman" w:cs="Arial"/>
          <w:b/>
          <w:color w:val="000000"/>
          <w:sz w:val="18"/>
          <w:szCs w:val="18"/>
        </w:rPr>
        <w:t>7.2.5.</w:t>
      </w:r>
      <w:r>
        <w:rPr>
          <w:rFonts w:hint="default" w:ascii="Arial" w:hAnsi="Arial" w:eastAsia="Times New Roman" w:cs="Arial"/>
          <w:color w:val="000000"/>
          <w:sz w:val="18"/>
          <w:szCs w:val="18"/>
        </w:rPr>
        <w:t xml:space="preserve"> Notificar a </w:t>
      </w:r>
      <w:r>
        <w:rPr>
          <w:rFonts w:hint="default" w:ascii="Arial" w:hAnsi="Arial" w:eastAsia="Times New Roman" w:cs="Arial"/>
          <w:b/>
          <w:color w:val="000000"/>
          <w:sz w:val="18"/>
          <w:szCs w:val="18"/>
        </w:rPr>
        <w:t>CONTRATADA</w:t>
      </w:r>
      <w:r>
        <w:rPr>
          <w:rFonts w:hint="default" w:ascii="Arial" w:hAnsi="Arial" w:eastAsia="Times New Roman" w:cs="Arial"/>
          <w:color w:val="000000"/>
          <w:sz w:val="18"/>
          <w:szCs w:val="18"/>
        </w:rPr>
        <w:t>, por escrito, quando não efetuar a  entrega do(s) iten(s), após 15 (quinze) dias corridos da geração da Solicitação de Fornecimento.</w:t>
      </w:r>
    </w:p>
    <w:p w14:paraId="553708CF">
      <w:pPr>
        <w:spacing w:after="0" w:line="276" w:lineRule="auto"/>
        <w:ind w:left="0" w:leftChars="0" w:firstLine="0" w:firstLineChars="0"/>
        <w:jc w:val="both"/>
        <w:rPr>
          <w:rFonts w:hint="default" w:ascii="Arial" w:hAnsi="Arial" w:eastAsia="Times New Roman" w:cs="Arial"/>
          <w:color w:val="000000"/>
          <w:sz w:val="18"/>
          <w:szCs w:val="18"/>
        </w:rPr>
      </w:pPr>
      <w:r>
        <w:rPr>
          <w:rFonts w:hint="default" w:ascii="Arial" w:hAnsi="Arial" w:eastAsia="Times New Roman" w:cs="Arial"/>
          <w:b/>
          <w:color w:val="000000"/>
          <w:sz w:val="18"/>
          <w:szCs w:val="18"/>
        </w:rPr>
        <w:t>7.2.6.</w:t>
      </w:r>
      <w:r>
        <w:rPr>
          <w:rFonts w:hint="default" w:ascii="Arial" w:hAnsi="Arial" w:eastAsia="Times New Roman" w:cs="Arial"/>
          <w:color w:val="000000"/>
          <w:sz w:val="18"/>
          <w:szCs w:val="18"/>
        </w:rPr>
        <w:t xml:space="preserve"> Notificar a </w:t>
      </w:r>
      <w:r>
        <w:rPr>
          <w:rFonts w:hint="default" w:ascii="Arial" w:hAnsi="Arial" w:eastAsia="Times New Roman" w:cs="Arial"/>
          <w:b/>
          <w:color w:val="000000"/>
          <w:sz w:val="18"/>
          <w:szCs w:val="18"/>
        </w:rPr>
        <w:t>CONTRATADA</w:t>
      </w:r>
      <w:r>
        <w:rPr>
          <w:rFonts w:hint="default" w:ascii="Arial" w:hAnsi="Arial" w:eastAsia="Times New Roman" w:cs="Arial"/>
          <w:color w:val="000000"/>
          <w:sz w:val="18"/>
          <w:szCs w:val="18"/>
        </w:rPr>
        <w:t>, por escrito, de quaisquer irregularidades que venham a ocorrer, em função da prestação do objeto do contrato.</w:t>
      </w:r>
    </w:p>
    <w:p w14:paraId="79B4B8DC">
      <w:pPr>
        <w:spacing w:after="0" w:line="276" w:lineRule="auto"/>
        <w:ind w:left="0" w:leftChars="0" w:firstLine="0" w:firstLineChars="0"/>
        <w:jc w:val="both"/>
        <w:rPr>
          <w:rFonts w:hint="default" w:ascii="Arial" w:hAnsi="Arial" w:eastAsia="Times New Roman" w:cs="Arial"/>
          <w:b/>
          <w:color w:val="000000"/>
          <w:sz w:val="18"/>
          <w:szCs w:val="18"/>
        </w:rPr>
      </w:pPr>
      <w:r>
        <w:rPr>
          <w:rFonts w:hint="default" w:ascii="Arial" w:hAnsi="Arial" w:eastAsia="Times New Roman" w:cs="Arial"/>
          <w:b/>
          <w:color w:val="000000"/>
          <w:sz w:val="18"/>
          <w:szCs w:val="18"/>
        </w:rPr>
        <w:t>7.2.7.</w:t>
      </w:r>
      <w:r>
        <w:rPr>
          <w:rFonts w:hint="default" w:ascii="Arial" w:hAnsi="Arial" w:eastAsia="Times New Roman" w:cs="Arial"/>
          <w:color w:val="000000"/>
          <w:sz w:val="18"/>
          <w:szCs w:val="18"/>
        </w:rPr>
        <w:t xml:space="preserve"> Cumprir e fazer-se cumprir o disposto nas cláusulas deste Termo de Referência.</w:t>
      </w:r>
    </w:p>
    <w:p w14:paraId="13095E0E">
      <w:pPr>
        <w:spacing w:after="0" w:line="276" w:lineRule="auto"/>
        <w:ind w:left="0" w:leftChars="0" w:firstLine="0" w:firstLineChars="0"/>
        <w:jc w:val="both"/>
        <w:rPr>
          <w:rFonts w:hint="default" w:ascii="Arial" w:hAnsi="Arial" w:eastAsia="Times New Roman" w:cs="Arial"/>
          <w:b/>
          <w:color w:val="000000"/>
          <w:sz w:val="18"/>
          <w:szCs w:val="18"/>
        </w:rPr>
      </w:pPr>
      <w:r>
        <w:rPr>
          <w:rFonts w:hint="default" w:ascii="Arial" w:hAnsi="Arial" w:eastAsia="Times New Roman" w:cs="Arial"/>
          <w:b/>
          <w:color w:val="000000"/>
          <w:sz w:val="18"/>
          <w:szCs w:val="18"/>
        </w:rPr>
        <w:t>7.2.8.</w:t>
      </w:r>
      <w:r>
        <w:rPr>
          <w:rFonts w:hint="default" w:ascii="Arial" w:hAnsi="Arial" w:eastAsia="Times New Roman" w:cs="Arial"/>
          <w:color w:val="000000"/>
          <w:sz w:val="18"/>
          <w:szCs w:val="18"/>
        </w:rPr>
        <w:t xml:space="preserve"> Fornecer todos os elementos básicos e dados complementares à execução dos serviços ora licitados</w:t>
      </w:r>
      <w:r>
        <w:rPr>
          <w:rFonts w:hint="default" w:ascii="Arial" w:hAnsi="Arial" w:eastAsia="Times New Roman" w:cs="Arial"/>
          <w:b/>
          <w:color w:val="000000"/>
          <w:sz w:val="18"/>
          <w:szCs w:val="18"/>
        </w:rPr>
        <w:t>.</w:t>
      </w:r>
    </w:p>
    <w:p w14:paraId="53AED779">
      <w:pPr>
        <w:pStyle w:val="278"/>
        <w:numPr>
          <w:ilvl w:val="0"/>
          <w:numId w:val="23"/>
        </w:numPr>
        <w:spacing w:line="276" w:lineRule="auto"/>
        <w:ind w:left="0" w:leftChars="0" w:firstLine="0" w:firstLineChars="0"/>
        <w:rPr>
          <w:rFonts w:hint="default" w:ascii="Arial" w:hAnsi="Arial" w:cs="Arial"/>
          <w:sz w:val="18"/>
          <w:szCs w:val="18"/>
        </w:rPr>
      </w:pPr>
      <w:r>
        <w:rPr>
          <w:rFonts w:hint="default" w:ascii="Arial" w:hAnsi="Arial" w:cs="Arial"/>
          <w:sz w:val="18"/>
          <w:szCs w:val="18"/>
        </w:rPr>
        <w:t>DA FISCALIZAÇÃO DO CONTRATO</w:t>
      </w:r>
    </w:p>
    <w:p w14:paraId="1196E90B">
      <w:pPr>
        <w:pStyle w:val="278"/>
        <w:numPr>
          <w:ilvl w:val="0"/>
          <w:numId w:val="0"/>
        </w:numPr>
        <w:spacing w:before="0" w:line="276" w:lineRule="auto"/>
        <w:ind w:left="0" w:leftChars="0" w:firstLine="0" w:firstLineChars="0"/>
        <w:rPr>
          <w:rFonts w:hint="default" w:ascii="Arial" w:hAnsi="Arial" w:cs="Arial"/>
          <w:b w:val="0"/>
          <w:sz w:val="18"/>
          <w:szCs w:val="18"/>
        </w:rPr>
      </w:pPr>
      <w:r>
        <w:rPr>
          <w:rFonts w:hint="default" w:ascii="Arial" w:hAnsi="Arial" w:cs="Arial"/>
          <w:sz w:val="18"/>
          <w:szCs w:val="18"/>
        </w:rPr>
        <w:t>8.1</w:t>
      </w:r>
      <w:r>
        <w:rPr>
          <w:rFonts w:hint="default" w:ascii="Arial" w:hAnsi="Arial" w:cs="Arial"/>
          <w:b w:val="0"/>
          <w:sz w:val="18"/>
          <w:szCs w:val="18"/>
        </w:rPr>
        <w:t>. A execução do contrato deverá ser acompanhada e fiscalizada pelos fiscais do contrato ou pelos respectivos substitutos que vierem a ser nomeados pela Administração, a saber:</w:t>
      </w:r>
    </w:p>
    <w:p w14:paraId="1E1DB840">
      <w:pPr>
        <w:pStyle w:val="306"/>
        <w:numPr>
          <w:ilvl w:val="0"/>
          <w:numId w:val="20"/>
        </w:numPr>
        <w:ind w:left="0" w:leftChars="0" w:firstLine="0" w:firstLineChars="0"/>
        <w:rPr>
          <w:rFonts w:hint="default" w:ascii="Arial" w:hAnsi="Arial" w:cs="Arial"/>
          <w:sz w:val="18"/>
          <w:szCs w:val="18"/>
        </w:rPr>
      </w:pPr>
      <w:r>
        <w:rPr>
          <w:rFonts w:hint="default" w:ascii="Arial" w:hAnsi="Arial" w:cs="Arial"/>
          <w:sz w:val="18"/>
          <w:szCs w:val="18"/>
        </w:rPr>
        <w:t>Natália da Silva Gonçalves Samel</w:t>
      </w:r>
    </w:p>
    <w:p w14:paraId="782A1E6B">
      <w:pPr>
        <w:pStyle w:val="306"/>
        <w:numPr>
          <w:numId w:val="0"/>
        </w:numPr>
        <w:suppressAutoHyphens/>
        <w:spacing w:before="120" w:after="120" w:line="276" w:lineRule="auto"/>
        <w:jc w:val="both"/>
        <w:rPr>
          <w:rFonts w:hint="default" w:ascii="Arial" w:hAnsi="Arial" w:cs="Arial"/>
          <w:sz w:val="18"/>
          <w:szCs w:val="18"/>
        </w:rPr>
      </w:pPr>
    </w:p>
    <w:p w14:paraId="064CB39B">
      <w:pPr>
        <w:pStyle w:val="306"/>
        <w:numPr>
          <w:numId w:val="0"/>
        </w:numPr>
        <w:suppressAutoHyphens/>
        <w:spacing w:before="120" w:after="120" w:line="276" w:lineRule="auto"/>
        <w:jc w:val="both"/>
        <w:rPr>
          <w:rFonts w:hint="default" w:ascii="Arial" w:hAnsi="Arial" w:cs="Arial"/>
          <w:sz w:val="18"/>
          <w:szCs w:val="18"/>
        </w:rPr>
      </w:pPr>
    </w:p>
    <w:p w14:paraId="40C53853">
      <w:pPr>
        <w:pStyle w:val="306"/>
        <w:numPr>
          <w:numId w:val="0"/>
        </w:numPr>
        <w:suppressAutoHyphens/>
        <w:spacing w:before="120" w:after="120" w:line="276" w:lineRule="auto"/>
        <w:jc w:val="both"/>
        <w:rPr>
          <w:rFonts w:hint="default" w:ascii="Arial" w:hAnsi="Arial" w:cs="Arial"/>
          <w:sz w:val="18"/>
          <w:szCs w:val="18"/>
        </w:rPr>
      </w:pPr>
    </w:p>
    <w:p w14:paraId="37F7EDB4">
      <w:pPr>
        <w:pStyle w:val="306"/>
        <w:numPr>
          <w:numId w:val="0"/>
        </w:numPr>
        <w:suppressAutoHyphens/>
        <w:spacing w:before="120" w:after="120" w:line="276" w:lineRule="auto"/>
        <w:jc w:val="both"/>
        <w:rPr>
          <w:rFonts w:hint="default" w:ascii="Arial" w:hAnsi="Arial" w:cs="Arial"/>
          <w:sz w:val="18"/>
          <w:szCs w:val="18"/>
        </w:rPr>
      </w:pPr>
    </w:p>
    <w:p w14:paraId="256EE53A">
      <w:pPr>
        <w:pStyle w:val="219"/>
        <w:spacing w:after="0" w:line="276" w:lineRule="auto"/>
        <w:ind w:left="0" w:leftChars="0" w:firstLine="0" w:firstLineChars="0"/>
        <w:jc w:val="both"/>
        <w:rPr>
          <w:rFonts w:hint="default" w:ascii="Arial" w:hAnsi="Arial" w:cs="Arial"/>
          <w:b/>
          <w:color w:val="auto"/>
          <w:sz w:val="18"/>
          <w:szCs w:val="18"/>
        </w:rPr>
      </w:pPr>
      <w:r>
        <w:rPr>
          <w:rFonts w:hint="default" w:ascii="Arial" w:hAnsi="Arial" w:cs="Arial"/>
          <w:b/>
          <w:color w:val="auto"/>
          <w:sz w:val="18"/>
          <w:szCs w:val="18"/>
        </w:rPr>
        <w:t>9. CRITÉRIOS DE MEDIÇÃO E PAGAMENTO</w:t>
      </w:r>
    </w:p>
    <w:p w14:paraId="2AE216C4">
      <w:pPr>
        <w:pStyle w:val="278"/>
        <w:numPr>
          <w:ilvl w:val="0"/>
          <w:numId w:val="0"/>
        </w:numPr>
        <w:spacing w:line="276" w:lineRule="auto"/>
        <w:ind w:left="0" w:leftChars="0" w:firstLine="0" w:firstLineChars="0"/>
        <w:rPr>
          <w:rFonts w:hint="default" w:ascii="Arial" w:hAnsi="Arial" w:cs="Arial"/>
          <w:sz w:val="18"/>
          <w:szCs w:val="18"/>
        </w:rPr>
      </w:pPr>
      <w:r>
        <w:rPr>
          <w:rFonts w:hint="default" w:ascii="Arial" w:hAnsi="Arial" w:cs="Arial"/>
          <w:sz w:val="18"/>
          <w:szCs w:val="18"/>
        </w:rPr>
        <w:t>9.1. Recebimento</w:t>
      </w:r>
    </w:p>
    <w:p w14:paraId="6587093D">
      <w:pPr>
        <w:pStyle w:val="278"/>
        <w:numPr>
          <w:ilvl w:val="0"/>
          <w:numId w:val="0"/>
        </w:numPr>
        <w:spacing w:before="0" w:line="276" w:lineRule="auto"/>
        <w:ind w:left="0" w:leftChars="0" w:firstLine="0" w:firstLineChars="0"/>
        <w:rPr>
          <w:rFonts w:hint="default" w:ascii="Arial" w:hAnsi="Arial" w:cs="Arial"/>
          <w:b w:val="0"/>
          <w:sz w:val="18"/>
          <w:szCs w:val="18"/>
        </w:rPr>
      </w:pPr>
      <w:r>
        <w:rPr>
          <w:rFonts w:hint="default" w:ascii="Arial" w:hAnsi="Arial" w:cs="Arial"/>
          <w:sz w:val="18"/>
          <w:szCs w:val="18"/>
        </w:rPr>
        <w:t>9.1.1.</w:t>
      </w:r>
      <w:r>
        <w:rPr>
          <w:rFonts w:hint="default" w:ascii="Arial" w:hAnsi="Arial" w:cs="Arial"/>
          <w:b w:val="0"/>
          <w:sz w:val="18"/>
          <w:szCs w:val="18"/>
        </w:rPr>
        <w:t xml:space="preserve"> Os itens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23B7E63C">
      <w:pPr>
        <w:pStyle w:val="219"/>
        <w:spacing w:after="0" w:line="276" w:lineRule="auto"/>
        <w:ind w:left="0" w:leftChars="0" w:firstLine="0" w:firstLineChars="0"/>
        <w:jc w:val="both"/>
        <w:rPr>
          <w:rFonts w:hint="default" w:ascii="Arial" w:hAnsi="Arial" w:cs="Arial"/>
          <w:color w:val="auto"/>
          <w:sz w:val="18"/>
          <w:szCs w:val="18"/>
        </w:rPr>
      </w:pPr>
      <w:r>
        <w:rPr>
          <w:rFonts w:hint="default" w:ascii="Arial" w:hAnsi="Arial" w:cs="Arial" w:eastAsiaTheme="majorEastAsia"/>
          <w:b/>
          <w:bCs/>
          <w:sz w:val="18"/>
          <w:szCs w:val="18"/>
          <w:lang w:eastAsia="pt-BR"/>
        </w:rPr>
        <w:t>9.</w:t>
      </w:r>
      <w:r>
        <w:rPr>
          <w:rFonts w:hint="default" w:ascii="Arial" w:hAnsi="Arial" w:cs="Arial"/>
          <w:b/>
          <w:sz w:val="18"/>
          <w:szCs w:val="18"/>
          <w:lang w:eastAsia="pt-BR"/>
        </w:rPr>
        <w:t>1.2.</w:t>
      </w:r>
      <w:r>
        <w:rPr>
          <w:rFonts w:hint="default" w:ascii="Arial" w:hAnsi="Arial" w:cs="Arial"/>
          <w:sz w:val="18"/>
          <w:szCs w:val="18"/>
          <w:lang w:eastAsia="pt-BR"/>
        </w:rPr>
        <w:t xml:space="preserve"> </w:t>
      </w:r>
      <w:r>
        <w:rPr>
          <w:rFonts w:hint="default" w:ascii="Arial" w:hAnsi="Arial" w:cs="Arial"/>
          <w:color w:val="auto"/>
          <w:sz w:val="18"/>
          <w:szCs w:val="18"/>
        </w:rPr>
        <w:t>O fornecimento do objeto será de forma Parcelada.</w:t>
      </w:r>
    </w:p>
    <w:p w14:paraId="7168C234">
      <w:pPr>
        <w:pStyle w:val="278"/>
        <w:numPr>
          <w:ilvl w:val="0"/>
          <w:numId w:val="0"/>
        </w:numPr>
        <w:tabs>
          <w:tab w:val="left" w:pos="-284"/>
        </w:tabs>
        <w:autoSpaceDE w:val="0"/>
        <w:autoSpaceDN w:val="0"/>
        <w:adjustRightInd w:val="0"/>
        <w:spacing w:line="360" w:lineRule="auto"/>
        <w:ind w:left="0" w:leftChars="0" w:firstLine="0" w:firstLineChars="0"/>
        <w:rPr>
          <w:rFonts w:hint="default" w:ascii="Arial" w:hAnsi="Arial" w:cs="Arial"/>
          <w:sz w:val="18"/>
          <w:szCs w:val="18"/>
        </w:rPr>
      </w:pPr>
      <w:r>
        <w:rPr>
          <w:rFonts w:hint="default" w:ascii="Arial" w:hAnsi="Arial" w:cs="Arial"/>
          <w:sz w:val="18"/>
          <w:szCs w:val="18"/>
        </w:rPr>
        <w:t>9.2. Liquidação</w:t>
      </w:r>
    </w:p>
    <w:p w14:paraId="1FD994A0">
      <w:pPr>
        <w:pStyle w:val="306"/>
        <w:numPr>
          <w:ilvl w:val="0"/>
          <w:numId w:val="0"/>
        </w:numPr>
        <w:tabs>
          <w:tab w:val="left" w:pos="284"/>
        </w:tabs>
        <w:autoSpaceDE w:val="0"/>
        <w:autoSpaceDN w:val="0"/>
        <w:adjustRightInd w:val="0"/>
        <w:spacing w:before="0" w:after="0"/>
        <w:ind w:left="0" w:leftChars="0" w:firstLine="0" w:firstLineChars="0"/>
        <w:rPr>
          <w:rFonts w:hint="default" w:ascii="Arial" w:hAnsi="Arial" w:cs="Arial"/>
          <w:sz w:val="18"/>
          <w:szCs w:val="18"/>
        </w:rPr>
      </w:pPr>
      <w:r>
        <w:rPr>
          <w:rFonts w:hint="default" w:ascii="Arial" w:hAnsi="Arial" w:cs="Arial"/>
          <w:b/>
          <w:sz w:val="18"/>
          <w:szCs w:val="18"/>
        </w:rPr>
        <w:t>9.2.1</w:t>
      </w:r>
      <w:r>
        <w:rPr>
          <w:rFonts w:hint="default" w:ascii="Arial" w:hAnsi="Arial" w:cs="Arial"/>
          <w:sz w:val="18"/>
          <w:szCs w:val="18"/>
        </w:rPr>
        <w:t>. Quando for constatada qualquer irregularidade na Nota Fiscal, será imediatamente solicitada à empresa adjudicatária carta de correção quando couber, ou ainda pertinente regularização, que deverá ser encaminhada no prazo máximo de 02 dias úteis.</w:t>
      </w:r>
    </w:p>
    <w:p w14:paraId="5255ECCD">
      <w:pPr>
        <w:pStyle w:val="219"/>
        <w:spacing w:after="0" w:line="276" w:lineRule="auto"/>
        <w:ind w:left="0" w:leftChars="0" w:firstLine="0" w:firstLineChars="0"/>
        <w:jc w:val="both"/>
        <w:rPr>
          <w:rFonts w:hint="default" w:ascii="Arial" w:hAnsi="Arial" w:cs="Arial"/>
          <w:color w:val="auto"/>
          <w:sz w:val="18"/>
          <w:szCs w:val="18"/>
        </w:rPr>
      </w:pPr>
      <w:r>
        <w:rPr>
          <w:rFonts w:hint="default" w:ascii="Arial" w:hAnsi="Arial" w:cs="Arial"/>
          <w:b/>
          <w:sz w:val="18"/>
          <w:szCs w:val="18"/>
        </w:rPr>
        <w:t>9.2.2.</w:t>
      </w:r>
      <w:r>
        <w:rPr>
          <w:rFonts w:hint="default" w:ascii="Arial" w:hAnsi="Arial" w:cs="Arial"/>
          <w:sz w:val="18"/>
          <w:szCs w:val="18"/>
        </w:rPr>
        <w:t xml:space="preserve"> </w:t>
      </w:r>
      <w:r>
        <w:rPr>
          <w:rFonts w:hint="default" w:ascii="Arial" w:hAnsi="Arial" w:cs="Arial"/>
          <w:color w:val="auto"/>
          <w:sz w:val="18"/>
          <w:szCs w:val="18"/>
        </w:rPr>
        <w:t>Caso a contratada não apresente carta de correção no prazo estipulado, o prazo para pagamento será recontado, a partir da data de sua apresentação.</w:t>
      </w:r>
    </w:p>
    <w:p w14:paraId="13BE5992">
      <w:pPr>
        <w:pStyle w:val="278"/>
        <w:numPr>
          <w:ilvl w:val="0"/>
          <w:numId w:val="0"/>
        </w:numPr>
        <w:tabs>
          <w:tab w:val="left" w:pos="284"/>
        </w:tabs>
        <w:autoSpaceDE w:val="0"/>
        <w:autoSpaceDN w:val="0"/>
        <w:adjustRightInd w:val="0"/>
        <w:spacing w:line="360" w:lineRule="auto"/>
        <w:ind w:left="0" w:leftChars="0" w:firstLine="0" w:firstLineChars="0"/>
        <w:rPr>
          <w:rFonts w:hint="default" w:ascii="Arial" w:hAnsi="Arial" w:cs="Arial"/>
          <w:sz w:val="18"/>
          <w:szCs w:val="18"/>
        </w:rPr>
      </w:pPr>
      <w:r>
        <w:rPr>
          <w:rFonts w:hint="default" w:ascii="Arial" w:hAnsi="Arial" w:cs="Arial"/>
          <w:sz w:val="18"/>
          <w:szCs w:val="18"/>
        </w:rPr>
        <w:t>9.3. Pagamento</w:t>
      </w:r>
    </w:p>
    <w:p w14:paraId="2F73B037">
      <w:pPr>
        <w:pStyle w:val="306"/>
        <w:numPr>
          <w:ilvl w:val="0"/>
          <w:numId w:val="0"/>
        </w:numPr>
        <w:tabs>
          <w:tab w:val="left" w:pos="284"/>
        </w:tabs>
        <w:autoSpaceDE w:val="0"/>
        <w:autoSpaceDN w:val="0"/>
        <w:adjustRightInd w:val="0"/>
        <w:spacing w:after="0"/>
        <w:ind w:left="0" w:leftChars="0" w:firstLine="0" w:firstLineChars="0"/>
        <w:rPr>
          <w:rFonts w:hint="default" w:ascii="Arial" w:hAnsi="Arial" w:cs="Arial"/>
          <w:sz w:val="18"/>
          <w:szCs w:val="18"/>
        </w:rPr>
      </w:pPr>
      <w:r>
        <w:rPr>
          <w:rFonts w:hint="default" w:ascii="Arial" w:hAnsi="Arial" w:cs="Arial"/>
          <w:b/>
          <w:sz w:val="18"/>
          <w:szCs w:val="18"/>
        </w:rPr>
        <w:t>9.3.1.</w:t>
      </w:r>
      <w:r>
        <w:rPr>
          <w:rFonts w:hint="default" w:ascii="Arial" w:hAnsi="Arial" w:cs="Arial"/>
          <w:sz w:val="18"/>
          <w:szCs w:val="18"/>
        </w:rPr>
        <w:t xml:space="preserve"> O pagamento do objeto deste termo será efetuado em moeda corrente, através de ordem bancária, sem juros e atualização monetária, até 30 dias após a apresentação de Nota Fiscal.</w:t>
      </w:r>
    </w:p>
    <w:p w14:paraId="37B4BBEA">
      <w:pPr>
        <w:pStyle w:val="278"/>
        <w:numPr>
          <w:ilvl w:val="0"/>
          <w:numId w:val="0"/>
        </w:numPr>
        <w:ind w:left="0" w:leftChars="0" w:firstLine="0" w:firstLineChars="0"/>
        <w:rPr>
          <w:rFonts w:hint="default" w:ascii="Arial" w:hAnsi="Arial" w:cs="Arial"/>
          <w:color w:val="000000" w:themeColor="text1"/>
          <w:sz w:val="18"/>
          <w:szCs w:val="18"/>
          <w14:textFill>
            <w14:solidFill>
              <w14:schemeClr w14:val="tx1"/>
            </w14:solidFill>
          </w14:textFill>
        </w:rPr>
      </w:pPr>
      <w:r>
        <w:rPr>
          <w:rFonts w:hint="default" w:ascii="Arial" w:hAnsi="Arial" w:cs="Arial"/>
          <w:bCs w:val="0"/>
          <w:color w:val="000000" w:themeColor="text1"/>
          <w:sz w:val="18"/>
          <w:szCs w:val="18"/>
          <w14:textFill>
            <w14:solidFill>
              <w14:schemeClr w14:val="tx1"/>
            </w14:solidFill>
          </w14:textFill>
        </w:rPr>
        <w:t>10.</w:t>
      </w:r>
      <w:r>
        <w:rPr>
          <w:rFonts w:hint="default" w:ascii="Arial" w:hAnsi="Arial" w:cs="Arial"/>
          <w:color w:val="000000" w:themeColor="text1"/>
          <w:sz w:val="18"/>
          <w:szCs w:val="18"/>
          <w14:textFill>
            <w14:solidFill>
              <w14:schemeClr w14:val="tx1"/>
            </w14:solidFill>
          </w14:textFill>
        </w:rPr>
        <w:t xml:space="preserve"> FORMA E CRITÉRIOS DE SELEÇÃO DO FORNECEDOR</w:t>
      </w:r>
    </w:p>
    <w:p w14:paraId="6B141753">
      <w:pPr>
        <w:pStyle w:val="278"/>
        <w:numPr>
          <w:ilvl w:val="0"/>
          <w:numId w:val="0"/>
        </w:numPr>
        <w:spacing w:line="276" w:lineRule="auto"/>
        <w:ind w:left="0" w:leftChars="0" w:firstLine="0" w:firstLineChars="0"/>
        <w:rPr>
          <w:rFonts w:hint="default" w:ascii="Arial" w:hAnsi="Arial" w:cs="Arial"/>
          <w:b w:val="0"/>
          <w:color w:val="000000" w:themeColor="text1"/>
          <w:sz w:val="18"/>
          <w:szCs w:val="18"/>
          <w14:textFill>
            <w14:solidFill>
              <w14:schemeClr w14:val="tx1"/>
            </w14:solidFill>
          </w14:textFill>
        </w:rPr>
      </w:pPr>
      <w:r>
        <w:rPr>
          <w:rFonts w:hint="default" w:ascii="Arial" w:hAnsi="Arial" w:cs="Arial"/>
          <w:color w:val="000000" w:themeColor="text1"/>
          <w:sz w:val="18"/>
          <w:szCs w:val="18"/>
          <w14:textFill>
            <w14:solidFill>
              <w14:schemeClr w14:val="tx1"/>
            </w14:solidFill>
          </w14:textFill>
        </w:rPr>
        <w:t>10.1.</w:t>
      </w:r>
      <w:r>
        <w:rPr>
          <w:rFonts w:hint="default" w:ascii="Arial" w:hAnsi="Arial" w:cs="Arial"/>
          <w:b w:val="0"/>
          <w:color w:val="000000" w:themeColor="text1"/>
          <w:sz w:val="18"/>
          <w:szCs w:val="18"/>
          <w14:textFill>
            <w14:solidFill>
              <w14:schemeClr w14:val="tx1"/>
            </w14:solidFill>
          </w14:textFill>
        </w:rPr>
        <w:t xml:space="preserve"> O fornecedor será selecionado por meio da realização de procedimento de LICITAÇÃO, na modalidade PREGÃO, (Lei 14.133/2021), para REGISTRO DE PREÇOS, sob a forma ELETRÔNICA, com adoção do critério de julgamento pelo </w:t>
      </w:r>
      <w:r>
        <w:rPr>
          <w:rFonts w:hint="default" w:ascii="Arial" w:hAnsi="Arial" w:eastAsia="Times New Roman" w:cs="Arial"/>
          <w:b w:val="0"/>
          <w:sz w:val="18"/>
          <w:szCs w:val="18"/>
        </w:rPr>
        <w:t>MAIOR PERCENTUAL DE</w:t>
      </w:r>
      <w:r>
        <w:rPr>
          <w:rFonts w:hint="default" w:ascii="Arial" w:hAnsi="Arial" w:eastAsia="Tahoma" w:cs="Arial"/>
          <w:b w:val="0"/>
          <w:sz w:val="18"/>
          <w:szCs w:val="18"/>
        </w:rPr>
        <w:t xml:space="preserve"> DESCONTO POR ITEM</w:t>
      </w:r>
      <w:r>
        <w:rPr>
          <w:rFonts w:hint="default" w:ascii="Arial" w:hAnsi="Arial" w:cs="Arial"/>
          <w:b w:val="0"/>
          <w:color w:val="000000" w:themeColor="text1"/>
          <w:sz w:val="18"/>
          <w:szCs w:val="18"/>
          <w14:textFill>
            <w14:solidFill>
              <w14:schemeClr w14:val="tx1"/>
            </w14:solidFill>
          </w14:textFill>
        </w:rPr>
        <w:t xml:space="preserve">, </w:t>
      </w:r>
      <w:r>
        <w:rPr>
          <w:rFonts w:hint="default" w:ascii="Arial" w:hAnsi="Arial" w:cs="Arial"/>
          <w:b w:val="0"/>
          <w:sz w:val="18"/>
          <w:szCs w:val="18"/>
        </w:rPr>
        <w:t>de forma Parcelada, com base nos parâmetros da Lei 14.133/2021.</w:t>
      </w:r>
    </w:p>
    <w:p w14:paraId="4C2231AF">
      <w:pPr>
        <w:pStyle w:val="278"/>
        <w:numPr>
          <w:ilvl w:val="0"/>
          <w:numId w:val="0"/>
        </w:numPr>
        <w:spacing w:line="276" w:lineRule="auto"/>
        <w:ind w:left="0" w:leftChars="0" w:firstLine="0" w:firstLineChars="0"/>
        <w:rPr>
          <w:rFonts w:hint="default" w:ascii="Arial" w:hAnsi="Arial" w:cs="Arial"/>
          <w:b w:val="0"/>
          <w:color w:val="000000" w:themeColor="text1"/>
          <w:sz w:val="18"/>
          <w:szCs w:val="18"/>
          <w14:textFill>
            <w14:solidFill>
              <w14:schemeClr w14:val="tx1"/>
            </w14:solidFill>
          </w14:textFill>
        </w:rPr>
      </w:pPr>
      <w:r>
        <w:rPr>
          <w:rFonts w:hint="default" w:ascii="Arial" w:hAnsi="Arial" w:cs="Arial"/>
          <w:color w:val="000000" w:themeColor="text1"/>
          <w:sz w:val="18"/>
          <w:szCs w:val="18"/>
          <w14:textFill>
            <w14:solidFill>
              <w14:schemeClr w14:val="tx1"/>
            </w14:solidFill>
          </w14:textFill>
        </w:rPr>
        <w:t>10.2. Da Habilitação Jurídica, Fiscal, Social, Trabalhista e Econômico-financeira</w:t>
      </w:r>
    </w:p>
    <w:p w14:paraId="4E207BC7">
      <w:pPr>
        <w:pStyle w:val="305"/>
        <w:numPr>
          <w:ilvl w:val="0"/>
          <w:numId w:val="0"/>
        </w:numPr>
        <w:spacing w:after="0"/>
        <w:ind w:left="0" w:leftChars="0" w:firstLine="0" w:firstLineChars="0"/>
        <w:rPr>
          <w:rFonts w:hint="default" w:ascii="Arial" w:hAnsi="Arial" w:cs="Arial"/>
          <w:sz w:val="18"/>
          <w:szCs w:val="18"/>
        </w:rPr>
      </w:pPr>
      <w:r>
        <w:rPr>
          <w:rFonts w:hint="default" w:ascii="Arial" w:hAnsi="Arial" w:cs="Arial"/>
          <w:b/>
          <w:sz w:val="18"/>
          <w:szCs w:val="18"/>
        </w:rPr>
        <w:t>10.2.1.</w:t>
      </w:r>
      <w:r>
        <w:rPr>
          <w:rFonts w:hint="default" w:ascii="Arial" w:hAnsi="Arial" w:cs="Arial"/>
          <w:sz w:val="18"/>
          <w:szCs w:val="18"/>
        </w:rPr>
        <w:t xml:space="preserve"> Os documentos necessários para habilitação do fornecedor se encontrarão descritos em tópico específico contido no edital.</w:t>
      </w:r>
    </w:p>
    <w:p w14:paraId="02776C73">
      <w:pPr>
        <w:pStyle w:val="278"/>
        <w:numPr>
          <w:ilvl w:val="0"/>
          <w:numId w:val="0"/>
        </w:numPr>
        <w:spacing w:line="360" w:lineRule="auto"/>
        <w:ind w:left="0" w:leftChars="0" w:firstLine="0" w:firstLineChars="0"/>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10.3. Qualificação Técnica</w:t>
      </w:r>
    </w:p>
    <w:p w14:paraId="702CF59F">
      <w:pPr>
        <w:spacing w:after="0" w:line="276" w:lineRule="auto"/>
        <w:ind w:left="0" w:leftChars="0" w:firstLine="0" w:firstLineChars="0"/>
        <w:jc w:val="both"/>
        <w:rPr>
          <w:rFonts w:hint="default" w:ascii="Arial" w:hAnsi="Arial" w:eastAsia="LiberationSerif-Bold" w:cs="Arial"/>
          <w:bCs/>
          <w:sz w:val="18"/>
          <w:szCs w:val="18"/>
          <w:lang w:eastAsia="zh-CN"/>
        </w:rPr>
      </w:pPr>
      <w:r>
        <w:rPr>
          <w:rFonts w:hint="default" w:ascii="Arial" w:hAnsi="Arial" w:cs="Arial"/>
          <w:b/>
          <w:sz w:val="18"/>
          <w:szCs w:val="18"/>
        </w:rPr>
        <w:t xml:space="preserve">10.3.1. </w:t>
      </w:r>
      <w:r>
        <w:rPr>
          <w:rFonts w:hint="default" w:ascii="Arial" w:hAnsi="Arial" w:eastAsia="LiberationSerif-Bold" w:cs="Arial"/>
          <w:bCs/>
          <w:sz w:val="18"/>
          <w:szCs w:val="18"/>
          <w:lang w:eastAsia="zh-CN"/>
        </w:rPr>
        <w:t xml:space="preserve">Comprovação de aptidão para o fornecimento de bens similares de complexidade tecnológica e operacional equivalente ou superior com o objeto, ou com o item pertinente, por meio da apresentação de certidões ou atestados, por pessoas jurídicas de direito público ou privado. </w:t>
      </w:r>
    </w:p>
    <w:p w14:paraId="0322C91C">
      <w:pPr>
        <w:suppressAutoHyphens/>
        <w:spacing w:after="0" w:line="276" w:lineRule="auto"/>
        <w:ind w:left="0" w:leftChars="0" w:firstLine="0" w:firstLineChars="0"/>
        <w:jc w:val="both"/>
        <w:rPr>
          <w:rFonts w:hint="default" w:ascii="Arial" w:hAnsi="Arial" w:eastAsia="LiberationSerif-Bold" w:cs="Arial"/>
          <w:bCs/>
          <w:sz w:val="18"/>
          <w:szCs w:val="18"/>
          <w:lang w:eastAsia="zh-CN"/>
        </w:rPr>
      </w:pPr>
      <w:r>
        <w:rPr>
          <w:rFonts w:hint="default" w:ascii="Arial" w:hAnsi="Arial" w:eastAsia="LiberationSerif-Bold" w:cs="Arial"/>
          <w:b/>
          <w:bCs/>
          <w:sz w:val="18"/>
          <w:szCs w:val="18"/>
          <w:lang w:eastAsia="zh-CN"/>
        </w:rPr>
        <w:t>10.3.2.</w:t>
      </w:r>
      <w:r>
        <w:rPr>
          <w:rFonts w:hint="default" w:ascii="Arial" w:hAnsi="Arial" w:eastAsia="LiberationSerif-Bold" w:cs="Arial"/>
          <w:bCs/>
          <w:sz w:val="18"/>
          <w:szCs w:val="18"/>
          <w:lang w:eastAsia="zh-CN"/>
        </w:rPr>
        <w:t xml:space="preserve"> Os atestados de capacidade técnica poderão ser apresentados em nome da matriz ou da filial do fornecedor. </w:t>
      </w:r>
    </w:p>
    <w:p w14:paraId="47C18A01">
      <w:pPr>
        <w:suppressAutoHyphens/>
        <w:spacing w:after="0" w:line="276" w:lineRule="auto"/>
        <w:ind w:left="0" w:leftChars="0" w:firstLine="0" w:firstLineChars="0"/>
        <w:jc w:val="both"/>
        <w:rPr>
          <w:rFonts w:hint="default" w:ascii="Arial" w:hAnsi="Arial" w:eastAsia="LiberationSerif-Bold" w:cs="Arial"/>
          <w:bCs/>
          <w:sz w:val="18"/>
          <w:szCs w:val="18"/>
          <w:lang w:eastAsia="zh-CN"/>
        </w:rPr>
      </w:pPr>
      <w:r>
        <w:rPr>
          <w:rFonts w:hint="default" w:ascii="Arial" w:hAnsi="Arial" w:cs="Arial"/>
          <w:b/>
          <w:sz w:val="18"/>
          <w:szCs w:val="18"/>
        </w:rPr>
        <w:t>10.3.2.</w:t>
      </w:r>
      <w:r>
        <w:rPr>
          <w:rFonts w:hint="default" w:ascii="Arial" w:hAnsi="Arial" w:eastAsia="LiberationSerif-Bold" w:cs="Arial"/>
          <w:bCs/>
          <w:sz w:val="18"/>
          <w:szCs w:val="18"/>
          <w:lang w:eastAsia="zh-CN"/>
        </w:rPr>
        <w:t xml:space="preserve"> Deverão ainda ser apresentadas Licença Sanitária expedida pelo órgão competente local, em plena vigência; Autorização de Funcionamento de Empresa (AFE) expedida pela Agência Nacional de Vigilância Sanitária (ANVISA), devidamente atualizada, Autorização de Funcionamento Especial (AE) expedida pela Agência Nacional de Vigilância Sanitária (ANVISA), devidamente atualizada.</w:t>
      </w:r>
    </w:p>
    <w:p w14:paraId="6FEBBBE4">
      <w:pPr>
        <w:pStyle w:val="278"/>
        <w:numPr>
          <w:ilvl w:val="0"/>
          <w:numId w:val="0"/>
        </w:numPr>
        <w:spacing w:line="360" w:lineRule="auto"/>
        <w:ind w:left="0" w:leftChars="0" w:firstLine="0" w:firstLineChars="0"/>
        <w:rPr>
          <w:rFonts w:hint="default" w:ascii="Arial" w:hAnsi="Arial" w:cs="Arial"/>
          <w:sz w:val="18"/>
          <w:szCs w:val="18"/>
        </w:rPr>
      </w:pPr>
      <w:r>
        <w:rPr>
          <w:rFonts w:hint="default" w:ascii="Arial" w:hAnsi="Arial" w:cs="Arial"/>
          <w:sz w:val="18"/>
          <w:szCs w:val="18"/>
        </w:rPr>
        <w:t xml:space="preserve">11. ESTIMATIVAS DO VALOR DA CONTRATAÇÃO </w:t>
      </w:r>
    </w:p>
    <w:p w14:paraId="6B2FB143">
      <w:pPr>
        <w:spacing w:after="0" w:line="276" w:lineRule="auto"/>
        <w:ind w:left="0" w:leftChars="0" w:firstLine="0" w:firstLineChars="0"/>
        <w:jc w:val="both"/>
        <w:rPr>
          <w:rFonts w:hint="default" w:ascii="Arial" w:hAnsi="Arial" w:eastAsia="Times New Roman" w:cs="Arial"/>
          <w:bCs/>
          <w:sz w:val="18"/>
          <w:szCs w:val="18"/>
        </w:rPr>
      </w:pPr>
      <w:r>
        <w:rPr>
          <w:rFonts w:hint="default" w:ascii="Arial" w:hAnsi="Arial" w:eastAsia="Times New Roman" w:cs="Arial"/>
          <w:b/>
          <w:color w:val="000000"/>
          <w:sz w:val="18"/>
          <w:szCs w:val="18"/>
        </w:rPr>
        <w:t xml:space="preserve">11.1. </w:t>
      </w:r>
      <w:r>
        <w:rPr>
          <w:rFonts w:hint="default" w:ascii="Arial" w:hAnsi="Arial" w:eastAsia="Times New Roman" w:cs="Arial"/>
          <w:sz w:val="18"/>
          <w:szCs w:val="18"/>
        </w:rPr>
        <w:t xml:space="preserve">Estima-se para a contratação almejada o valor total de </w:t>
      </w:r>
      <w:r>
        <w:rPr>
          <w:rFonts w:hint="default" w:ascii="Arial" w:hAnsi="Arial" w:cs="Arial"/>
          <w:sz w:val="18"/>
          <w:szCs w:val="18"/>
        </w:rPr>
        <w:t>R$ 150.000,00 (Cento e cinquenta mil reais)</w:t>
      </w:r>
      <w:r>
        <w:rPr>
          <w:rFonts w:hint="default" w:ascii="Arial" w:hAnsi="Arial" w:eastAsia="Times New Roman" w:cs="Arial"/>
          <w:bCs/>
          <w:sz w:val="18"/>
          <w:szCs w:val="18"/>
        </w:rPr>
        <w:t>.</w:t>
      </w:r>
    </w:p>
    <w:p w14:paraId="6F7273F3">
      <w:pPr>
        <w:spacing w:line="276" w:lineRule="auto"/>
        <w:ind w:left="0" w:leftChars="0" w:firstLine="0" w:firstLineChars="0"/>
        <w:jc w:val="both"/>
        <w:rPr>
          <w:rFonts w:hint="default" w:ascii="Arial" w:hAnsi="Arial" w:eastAsia="Times New Roman" w:cs="Arial"/>
          <w:sz w:val="18"/>
          <w:szCs w:val="18"/>
          <w:lang w:eastAsia="pt-BR"/>
        </w:rPr>
      </w:pPr>
      <w:r>
        <w:rPr>
          <w:rFonts w:hint="default" w:ascii="Arial" w:hAnsi="Arial" w:eastAsia="Times New Roman" w:cs="Arial"/>
          <w:b/>
          <w:color w:val="000000"/>
          <w:sz w:val="18"/>
          <w:szCs w:val="18"/>
        </w:rPr>
        <w:t>11.2.</w:t>
      </w:r>
      <w:r>
        <w:rPr>
          <w:rFonts w:hint="default" w:ascii="Arial" w:hAnsi="Arial" w:eastAsia="Times New Roman" w:cs="Arial"/>
          <w:sz w:val="18"/>
          <w:szCs w:val="18"/>
          <w:lang w:eastAsia="pt-BR"/>
        </w:rPr>
        <w:t xml:space="preserve"> 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14:paraId="3678D147">
      <w:pPr>
        <w:pStyle w:val="219"/>
        <w:spacing w:after="0" w:line="276" w:lineRule="auto"/>
        <w:ind w:left="0" w:leftChars="0" w:firstLine="0" w:firstLineChars="0"/>
        <w:jc w:val="both"/>
        <w:rPr>
          <w:rFonts w:hint="default" w:ascii="Arial" w:hAnsi="Arial" w:cs="Arial"/>
          <w:b/>
          <w:color w:val="auto"/>
          <w:sz w:val="18"/>
          <w:szCs w:val="18"/>
        </w:rPr>
      </w:pPr>
      <w:r>
        <w:rPr>
          <w:rFonts w:hint="default" w:ascii="Arial" w:hAnsi="Arial" w:cs="Arial"/>
          <w:b/>
          <w:color w:val="auto"/>
          <w:sz w:val="18"/>
          <w:szCs w:val="18"/>
        </w:rPr>
        <w:t>12. DA VIGÊNCIA</w:t>
      </w:r>
    </w:p>
    <w:p w14:paraId="4A179626">
      <w:pPr>
        <w:pStyle w:val="220"/>
        <w:suppressAutoHyphens/>
        <w:spacing w:after="0" w:line="276" w:lineRule="auto"/>
        <w:ind w:left="0" w:leftChars="0" w:firstLine="0" w:firstLineChars="0"/>
        <w:jc w:val="both"/>
        <w:rPr>
          <w:rFonts w:hint="default" w:ascii="Arial" w:hAnsi="Arial" w:cs="Arial"/>
          <w:sz w:val="18"/>
          <w:szCs w:val="18"/>
        </w:rPr>
      </w:pPr>
      <w:r>
        <w:rPr>
          <w:rFonts w:hint="default" w:ascii="Arial" w:hAnsi="Arial" w:cs="Arial"/>
          <w:b/>
          <w:sz w:val="18"/>
          <w:szCs w:val="18"/>
        </w:rPr>
        <w:t xml:space="preserve">12.1. </w:t>
      </w:r>
      <w:r>
        <w:rPr>
          <w:rFonts w:hint="default" w:ascii="Arial" w:hAnsi="Arial" w:cs="Arial"/>
          <w:sz w:val="18"/>
          <w:szCs w:val="18"/>
        </w:rPr>
        <w:t>O prazo de vigência da contratação será de 12 (doze) meses a contar da data de homologação do Contrato, podendo ser prorrogado, de acordo com a Lei vigente.</w:t>
      </w:r>
    </w:p>
    <w:p w14:paraId="63EC0ADE">
      <w:pPr>
        <w:pStyle w:val="278"/>
        <w:numPr>
          <w:ilvl w:val="0"/>
          <w:numId w:val="0"/>
        </w:numPr>
        <w:ind w:left="0" w:leftChars="0" w:firstLine="0" w:firstLineChars="0"/>
        <w:rPr>
          <w:rFonts w:hint="default" w:ascii="Arial" w:hAnsi="Arial" w:cs="Arial"/>
          <w:sz w:val="18"/>
          <w:szCs w:val="18"/>
        </w:rPr>
      </w:pPr>
      <w:r>
        <w:rPr>
          <w:rFonts w:hint="default" w:ascii="Arial" w:hAnsi="Arial" w:cs="Arial"/>
          <w:sz w:val="18"/>
          <w:szCs w:val="18"/>
        </w:rPr>
        <w:t xml:space="preserve">13. ADEQUAÇÃO ORÇAMENTÁRIA </w:t>
      </w:r>
    </w:p>
    <w:p w14:paraId="0532AEA7">
      <w:pPr>
        <w:pStyle w:val="303"/>
        <w:numPr>
          <w:ilvl w:val="0"/>
          <w:numId w:val="0"/>
        </w:numPr>
        <w:spacing w:after="0"/>
        <w:ind w:left="0" w:leftChars="0" w:firstLine="0" w:firstLineChars="0"/>
        <w:rPr>
          <w:rFonts w:hint="default" w:ascii="Arial" w:hAnsi="Arial" w:cs="Arial"/>
          <w:sz w:val="18"/>
          <w:szCs w:val="18"/>
        </w:rPr>
      </w:pPr>
      <w:r>
        <w:rPr>
          <w:rFonts w:hint="default" w:ascii="Arial" w:hAnsi="Arial" w:cs="Arial"/>
          <w:b/>
          <w:sz w:val="18"/>
          <w:szCs w:val="18"/>
        </w:rPr>
        <w:t>13.1</w:t>
      </w:r>
      <w:r>
        <w:rPr>
          <w:rFonts w:hint="default" w:ascii="Arial" w:hAnsi="Arial" w:cs="Arial"/>
          <w:sz w:val="18"/>
          <w:szCs w:val="18"/>
        </w:rPr>
        <w:t>. As despesas decorrentes da presente contratação correrão por conta da dotação orçamentária do orçamento em vigor.</w:t>
      </w:r>
    </w:p>
    <w:p w14:paraId="4AE350A7">
      <w:pPr>
        <w:spacing w:after="0" w:line="276" w:lineRule="auto"/>
        <w:ind w:left="0" w:leftChars="0" w:firstLine="0" w:firstLineChars="0"/>
        <w:rPr>
          <w:rFonts w:hint="default" w:ascii="Arial" w:hAnsi="Arial" w:eastAsia="Times New Roman" w:cs="Arial"/>
          <w:color w:val="000000"/>
          <w:sz w:val="18"/>
          <w:szCs w:val="18"/>
        </w:rPr>
      </w:pPr>
      <w:r>
        <w:rPr>
          <w:rFonts w:hint="default" w:ascii="Arial" w:hAnsi="Arial" w:eastAsia="Times New Roman" w:cs="Arial"/>
          <w:color w:val="000000"/>
          <w:sz w:val="18"/>
          <w:szCs w:val="18"/>
        </w:rPr>
        <w:t>A contratação será atendida pel</w:t>
      </w:r>
      <w:r>
        <w:rPr>
          <w:rFonts w:hint="default" w:ascii="Arial" w:hAnsi="Arial" w:eastAsia="Times New Roman" w:cs="Arial"/>
          <w:sz w:val="18"/>
          <w:szCs w:val="18"/>
        </w:rPr>
        <w:t>os seguintes centros de custos:</w:t>
      </w:r>
      <w:r>
        <w:rPr>
          <w:rFonts w:hint="default" w:ascii="Arial" w:hAnsi="Arial" w:eastAsia="Times New Roman" w:cs="Arial"/>
          <w:color w:val="000000"/>
          <w:sz w:val="18"/>
          <w:szCs w:val="18"/>
        </w:rPr>
        <w:t xml:space="preserve"> </w:t>
      </w:r>
    </w:p>
    <w:p w14:paraId="33AE23D6">
      <w:pPr>
        <w:pStyle w:val="278"/>
        <w:numPr>
          <w:ilvl w:val="0"/>
          <w:numId w:val="0"/>
        </w:numPr>
        <w:spacing w:line="276" w:lineRule="auto"/>
        <w:ind w:left="0" w:leftChars="0" w:firstLine="0" w:firstLineChars="0"/>
        <w:rPr>
          <w:rFonts w:hint="default" w:ascii="Arial" w:hAnsi="Arial" w:cs="Arial"/>
          <w:sz w:val="18"/>
          <w:szCs w:val="18"/>
        </w:rPr>
      </w:pPr>
    </w:p>
    <w:p w14:paraId="3A186C22">
      <w:pPr>
        <w:pStyle w:val="278"/>
        <w:numPr>
          <w:ilvl w:val="0"/>
          <w:numId w:val="0"/>
        </w:numPr>
        <w:spacing w:line="276" w:lineRule="auto"/>
        <w:ind w:left="0" w:leftChars="0" w:firstLine="0" w:firstLineChars="0"/>
        <w:rPr>
          <w:rFonts w:hint="default" w:ascii="Arial" w:hAnsi="Arial" w:cs="Arial"/>
          <w:sz w:val="18"/>
          <w:szCs w:val="18"/>
        </w:rPr>
      </w:pPr>
      <w:r>
        <w:rPr>
          <w:rFonts w:hint="default" w:ascii="Arial" w:hAnsi="Arial" w:cs="Arial"/>
          <w:sz w:val="18"/>
          <w:szCs w:val="18"/>
        </w:rPr>
        <w:t>CENTROS DE CUSTOS</w:t>
      </w:r>
    </w:p>
    <w:p w14:paraId="3749DAE1">
      <w:pPr>
        <w:pStyle w:val="278"/>
        <w:numPr>
          <w:ilvl w:val="0"/>
          <w:numId w:val="0"/>
        </w:numPr>
        <w:spacing w:line="276" w:lineRule="auto"/>
        <w:ind w:left="0" w:leftChars="0" w:firstLine="0" w:firstLineChars="0"/>
        <w:rPr>
          <w:rFonts w:hint="default" w:ascii="Arial" w:hAnsi="Arial" w:cs="Arial"/>
          <w:sz w:val="18"/>
          <w:szCs w:val="18"/>
        </w:rPr>
      </w:pPr>
      <w:r>
        <w:rPr>
          <w:rFonts w:hint="default" w:ascii="Arial" w:hAnsi="Arial" w:cs="Arial"/>
          <w:sz w:val="18"/>
          <w:szCs w:val="18"/>
        </w:rPr>
        <w:t xml:space="preserve">02.008 – Secretaria de Saúde </w:t>
      </w:r>
    </w:p>
    <w:p w14:paraId="54006531">
      <w:pPr>
        <w:spacing w:after="0"/>
        <w:ind w:left="0" w:leftChars="0" w:firstLine="0" w:firstLineChars="0"/>
        <w:rPr>
          <w:rFonts w:hint="default" w:ascii="Arial" w:hAnsi="Arial" w:cs="Arial"/>
          <w:sz w:val="18"/>
          <w:szCs w:val="18"/>
          <w:lang w:eastAsia="pt-BR"/>
        </w:rPr>
      </w:pPr>
    </w:p>
    <w:p w14:paraId="57BC7FBA">
      <w:pPr>
        <w:spacing w:after="0" w:line="276" w:lineRule="auto"/>
        <w:ind w:left="0" w:leftChars="0" w:firstLine="0" w:firstLineChars="0"/>
        <w:jc w:val="both"/>
        <w:rPr>
          <w:rFonts w:hint="default" w:ascii="Arial" w:hAnsi="Arial" w:cs="Arial"/>
          <w:sz w:val="18"/>
          <w:szCs w:val="18"/>
        </w:rPr>
      </w:pPr>
      <w:r>
        <w:rPr>
          <w:rFonts w:hint="default" w:ascii="Arial" w:hAnsi="Arial" w:cs="Arial"/>
          <w:sz w:val="18"/>
          <w:szCs w:val="18"/>
        </w:rPr>
        <w:t xml:space="preserve">10.122.0000.0.008 – Cumprimento de Sentenças Judiciais na Área da Saúde. </w:t>
      </w:r>
    </w:p>
    <w:p w14:paraId="6A8C363E">
      <w:pPr>
        <w:spacing w:after="0" w:line="276" w:lineRule="auto"/>
        <w:ind w:left="0" w:leftChars="0" w:firstLine="0" w:firstLineChars="0"/>
        <w:jc w:val="both"/>
        <w:rPr>
          <w:rFonts w:hint="default" w:ascii="Arial" w:hAnsi="Arial" w:cs="Arial"/>
          <w:sz w:val="18"/>
          <w:szCs w:val="18"/>
        </w:rPr>
      </w:pPr>
      <w:r>
        <w:rPr>
          <w:rFonts w:hint="default" w:ascii="Arial" w:hAnsi="Arial" w:cs="Arial"/>
          <w:sz w:val="18"/>
          <w:szCs w:val="18"/>
        </w:rPr>
        <w:t>3.3.90.91.00.00.00.00 01.0500 – Sentenças Judiciais (Ficha 324)</w:t>
      </w:r>
    </w:p>
    <w:p w14:paraId="0DB239A9">
      <w:pPr>
        <w:spacing w:after="0" w:line="276" w:lineRule="auto"/>
        <w:ind w:left="-567"/>
        <w:jc w:val="both"/>
        <w:rPr>
          <w:rFonts w:hint="default" w:ascii="Arial" w:hAnsi="Arial" w:cs="Arial"/>
          <w:sz w:val="18"/>
          <w:szCs w:val="18"/>
        </w:rPr>
      </w:pPr>
    </w:p>
    <w:p w14:paraId="75E5ED31">
      <w:pPr>
        <w:rPr>
          <w:rFonts w:hint="default" w:ascii="Arial" w:hAnsi="Arial" w:cs="Arial"/>
          <w:sz w:val="18"/>
          <w:szCs w:val="18"/>
          <w:lang w:eastAsia="pt-BR"/>
        </w:rPr>
      </w:pPr>
    </w:p>
    <w:p w14:paraId="75B6856C">
      <w:pPr>
        <w:rPr>
          <w:rFonts w:hint="default" w:ascii="Arial" w:hAnsi="Arial" w:cs="Arial"/>
          <w:b w:val="0"/>
          <w:bCs w:val="0"/>
          <w:sz w:val="18"/>
          <w:szCs w:val="18"/>
          <w:lang w:eastAsia="pt-BR"/>
        </w:rPr>
      </w:pPr>
    </w:p>
    <w:p w14:paraId="5196752E">
      <w:pPr>
        <w:rPr>
          <w:rFonts w:hint="default" w:ascii="Arial" w:hAnsi="Arial" w:cs="Arial"/>
          <w:b w:val="0"/>
          <w:bCs w:val="0"/>
          <w:sz w:val="18"/>
          <w:szCs w:val="18"/>
          <w:lang w:eastAsia="pt-BR"/>
        </w:rPr>
      </w:pPr>
    </w:p>
    <w:tbl>
      <w:tblPr>
        <w:tblStyle w:val="3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49"/>
        <w:gridCol w:w="4522"/>
      </w:tblGrid>
      <w:tr w14:paraId="7FE41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49" w:type="dxa"/>
          </w:tcPr>
          <w:p w14:paraId="71763258">
            <w:pPr>
              <w:spacing w:after="0" w:line="240" w:lineRule="auto"/>
              <w:rPr>
                <w:rFonts w:hint="default" w:ascii="Arial" w:hAnsi="Arial" w:cs="Arial"/>
                <w:b w:val="0"/>
                <w:bCs w:val="0"/>
                <w:sz w:val="18"/>
                <w:szCs w:val="18"/>
              </w:rPr>
            </w:pPr>
          </w:p>
          <w:p w14:paraId="51A316E2">
            <w:pPr>
              <w:spacing w:after="0" w:line="240" w:lineRule="auto"/>
              <w:jc w:val="center"/>
              <w:rPr>
                <w:rFonts w:hint="default" w:ascii="Arial" w:hAnsi="Arial" w:cs="Arial"/>
                <w:b w:val="0"/>
                <w:bCs w:val="0"/>
                <w:sz w:val="18"/>
                <w:szCs w:val="18"/>
              </w:rPr>
            </w:pPr>
            <w:r>
              <w:rPr>
                <w:rFonts w:hint="default" w:ascii="Arial" w:hAnsi="Arial" w:cs="Arial"/>
                <w:b w:val="0"/>
                <w:bCs w:val="0"/>
                <w:sz w:val="18"/>
                <w:szCs w:val="18"/>
              </w:rPr>
              <w:t>__________________________________</w:t>
            </w:r>
          </w:p>
        </w:tc>
        <w:tc>
          <w:tcPr>
            <w:tcW w:w="4522" w:type="dxa"/>
          </w:tcPr>
          <w:p w14:paraId="26F8E0A1">
            <w:pPr>
              <w:spacing w:after="0" w:line="276" w:lineRule="auto"/>
              <w:rPr>
                <w:rFonts w:hint="default" w:ascii="Arial" w:hAnsi="Arial" w:cs="Arial"/>
                <w:b w:val="0"/>
                <w:bCs w:val="0"/>
                <w:sz w:val="18"/>
                <w:szCs w:val="18"/>
              </w:rPr>
            </w:pPr>
          </w:p>
          <w:p w14:paraId="6F781EB5">
            <w:pPr>
              <w:spacing w:after="0" w:line="276" w:lineRule="auto"/>
              <w:rPr>
                <w:rFonts w:hint="default" w:ascii="Arial" w:hAnsi="Arial" w:cs="Arial"/>
                <w:b w:val="0"/>
                <w:bCs w:val="0"/>
                <w:sz w:val="18"/>
                <w:szCs w:val="18"/>
              </w:rPr>
            </w:pPr>
            <w:r>
              <w:rPr>
                <w:rFonts w:hint="default" w:ascii="Arial" w:hAnsi="Arial" w:cs="Arial"/>
                <w:b w:val="0"/>
                <w:bCs w:val="0"/>
                <w:sz w:val="18"/>
                <w:szCs w:val="18"/>
              </w:rPr>
              <w:t xml:space="preserve">               _________________________</w:t>
            </w:r>
          </w:p>
        </w:tc>
      </w:tr>
      <w:tr w14:paraId="1DB17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49" w:type="dxa"/>
          </w:tcPr>
          <w:p w14:paraId="3FF7EE41">
            <w:pPr>
              <w:spacing w:after="0" w:line="276" w:lineRule="auto"/>
              <w:jc w:val="center"/>
              <w:rPr>
                <w:rFonts w:hint="default" w:ascii="Arial" w:hAnsi="Arial" w:cs="Arial"/>
                <w:b w:val="0"/>
                <w:bCs w:val="0"/>
                <w:sz w:val="18"/>
                <w:szCs w:val="18"/>
              </w:rPr>
            </w:pPr>
            <w:r>
              <w:rPr>
                <w:rFonts w:hint="default" w:ascii="Arial" w:hAnsi="Arial" w:cs="Arial"/>
                <w:b w:val="0"/>
                <w:bCs w:val="0"/>
                <w:sz w:val="18"/>
                <w:szCs w:val="18"/>
              </w:rPr>
              <w:t>Vinicius Franzoni Barbosa Ferreira</w:t>
            </w:r>
          </w:p>
        </w:tc>
        <w:tc>
          <w:tcPr>
            <w:tcW w:w="4522" w:type="dxa"/>
          </w:tcPr>
          <w:p w14:paraId="4046701E">
            <w:pPr>
              <w:spacing w:after="0" w:line="276" w:lineRule="auto"/>
              <w:rPr>
                <w:rFonts w:hint="default" w:ascii="Arial" w:hAnsi="Arial" w:cs="Arial"/>
                <w:b w:val="0"/>
                <w:bCs w:val="0"/>
                <w:sz w:val="18"/>
                <w:szCs w:val="18"/>
              </w:rPr>
            </w:pPr>
            <w:r>
              <w:rPr>
                <w:rFonts w:hint="default" w:ascii="Arial" w:hAnsi="Arial" w:cs="Arial"/>
                <w:b w:val="0"/>
                <w:bCs w:val="0"/>
                <w:sz w:val="18"/>
                <w:szCs w:val="18"/>
              </w:rPr>
              <w:t xml:space="preserve">                      Flávia de Souza Werneck</w:t>
            </w:r>
          </w:p>
        </w:tc>
      </w:tr>
      <w:tr w14:paraId="52A99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49" w:type="dxa"/>
          </w:tcPr>
          <w:p w14:paraId="2A5677FD">
            <w:pPr>
              <w:spacing w:after="0" w:line="276" w:lineRule="auto"/>
              <w:jc w:val="center"/>
              <w:rPr>
                <w:rFonts w:hint="default" w:ascii="Arial" w:hAnsi="Arial" w:cs="Arial"/>
                <w:b w:val="0"/>
                <w:bCs w:val="0"/>
                <w:sz w:val="18"/>
                <w:szCs w:val="18"/>
              </w:rPr>
            </w:pPr>
            <w:r>
              <w:rPr>
                <w:rFonts w:hint="default" w:ascii="Arial" w:hAnsi="Arial" w:cs="Arial"/>
                <w:b w:val="0"/>
                <w:bCs w:val="0"/>
                <w:sz w:val="18"/>
                <w:szCs w:val="18"/>
              </w:rPr>
              <w:t>Secretário Municipal de Saúde</w:t>
            </w:r>
          </w:p>
        </w:tc>
        <w:tc>
          <w:tcPr>
            <w:tcW w:w="4522" w:type="dxa"/>
          </w:tcPr>
          <w:p w14:paraId="417B16F0">
            <w:pPr>
              <w:spacing w:after="0" w:line="276" w:lineRule="auto"/>
              <w:jc w:val="center"/>
              <w:rPr>
                <w:rFonts w:hint="default" w:ascii="Arial" w:hAnsi="Arial" w:cs="Arial" w:eastAsiaTheme="majorEastAsia"/>
                <w:b w:val="0"/>
                <w:bCs w:val="0"/>
                <w:sz w:val="18"/>
                <w:szCs w:val="18"/>
                <w:lang w:eastAsia="pt-BR"/>
              </w:rPr>
            </w:pPr>
            <w:r>
              <w:rPr>
                <w:rFonts w:hint="default" w:ascii="Arial" w:hAnsi="Arial" w:cs="Arial" w:eastAsiaTheme="majorEastAsia"/>
                <w:b w:val="0"/>
                <w:bCs w:val="0"/>
                <w:sz w:val="18"/>
                <w:szCs w:val="18"/>
                <w:lang w:eastAsia="pt-BR"/>
              </w:rPr>
              <w:t>Elaboração do Termo de Referência</w:t>
            </w:r>
          </w:p>
          <w:p w14:paraId="0CD52073">
            <w:pPr>
              <w:spacing w:after="0" w:line="276" w:lineRule="auto"/>
              <w:jc w:val="center"/>
              <w:rPr>
                <w:rFonts w:hint="default" w:ascii="Arial" w:hAnsi="Arial" w:cs="Arial"/>
                <w:b w:val="0"/>
                <w:bCs w:val="0"/>
                <w:sz w:val="18"/>
                <w:szCs w:val="18"/>
              </w:rPr>
            </w:pPr>
          </w:p>
          <w:p w14:paraId="20A68941">
            <w:pPr>
              <w:spacing w:after="0" w:line="276" w:lineRule="auto"/>
              <w:jc w:val="center"/>
              <w:rPr>
                <w:rFonts w:hint="default" w:ascii="Arial" w:hAnsi="Arial" w:cs="Arial"/>
                <w:b w:val="0"/>
                <w:bCs w:val="0"/>
                <w:sz w:val="18"/>
                <w:szCs w:val="18"/>
              </w:rPr>
            </w:pPr>
          </w:p>
          <w:p w14:paraId="3797E696">
            <w:pPr>
              <w:spacing w:after="0" w:line="276" w:lineRule="auto"/>
              <w:jc w:val="center"/>
              <w:rPr>
                <w:rFonts w:hint="default" w:ascii="Arial" w:hAnsi="Arial" w:cs="Arial"/>
                <w:b w:val="0"/>
                <w:bCs w:val="0"/>
                <w:sz w:val="18"/>
                <w:szCs w:val="18"/>
              </w:rPr>
            </w:pPr>
          </w:p>
          <w:p w14:paraId="53520E7C">
            <w:pPr>
              <w:spacing w:after="0" w:line="276" w:lineRule="auto"/>
              <w:jc w:val="center"/>
              <w:rPr>
                <w:rFonts w:hint="default" w:ascii="Arial" w:hAnsi="Arial" w:cs="Arial"/>
                <w:b w:val="0"/>
                <w:bCs w:val="0"/>
                <w:sz w:val="18"/>
                <w:szCs w:val="18"/>
              </w:rPr>
            </w:pPr>
          </w:p>
          <w:p w14:paraId="6931AE56">
            <w:pPr>
              <w:spacing w:after="0" w:line="276" w:lineRule="auto"/>
              <w:jc w:val="center"/>
              <w:rPr>
                <w:rFonts w:hint="default" w:ascii="Arial" w:hAnsi="Arial" w:cs="Arial"/>
                <w:b w:val="0"/>
                <w:bCs w:val="0"/>
                <w:sz w:val="18"/>
                <w:szCs w:val="18"/>
              </w:rPr>
            </w:pPr>
          </w:p>
          <w:p w14:paraId="136E41CB">
            <w:pPr>
              <w:spacing w:after="0" w:line="276" w:lineRule="auto"/>
              <w:jc w:val="center"/>
              <w:rPr>
                <w:rFonts w:hint="default" w:ascii="Arial" w:hAnsi="Arial" w:cs="Arial"/>
                <w:b w:val="0"/>
                <w:bCs w:val="0"/>
                <w:sz w:val="18"/>
                <w:szCs w:val="18"/>
              </w:rPr>
            </w:pPr>
          </w:p>
        </w:tc>
      </w:tr>
    </w:tbl>
    <w:p w14:paraId="4C2F91B5">
      <w:pPr>
        <w:spacing w:after="0" w:line="240" w:lineRule="auto"/>
        <w:rPr>
          <w:rFonts w:hint="default" w:ascii="Arial" w:hAnsi="Arial" w:cs="Arial" w:eastAsiaTheme="majorEastAsia"/>
          <w:b w:val="0"/>
          <w:bCs w:val="0"/>
          <w:sz w:val="18"/>
          <w:szCs w:val="18"/>
          <w:lang w:eastAsia="pt-BR"/>
        </w:rPr>
      </w:pPr>
      <w:r>
        <w:rPr>
          <w:rFonts w:hint="default" w:ascii="Arial" w:hAnsi="Arial" w:cs="Arial" w:eastAsiaTheme="majorEastAsia"/>
          <w:b w:val="0"/>
          <w:bCs w:val="0"/>
          <w:sz w:val="18"/>
          <w:szCs w:val="18"/>
          <w:lang w:eastAsia="pt-BR"/>
        </w:rPr>
        <w:t xml:space="preserve">                                           </w:t>
      </w:r>
      <w:r>
        <w:rPr>
          <w:rFonts w:hint="default" w:ascii="Arial" w:hAnsi="Arial" w:cs="Arial" w:eastAsiaTheme="majorEastAsia"/>
          <w:b w:val="0"/>
          <w:bCs w:val="0"/>
          <w:sz w:val="18"/>
          <w:szCs w:val="18"/>
          <w:lang w:val="en-US" w:eastAsia="pt-BR"/>
        </w:rPr>
        <w:t xml:space="preserve">                           </w:t>
      </w:r>
      <w:r>
        <w:rPr>
          <w:rFonts w:hint="default" w:ascii="Arial" w:hAnsi="Arial" w:cs="Arial" w:eastAsiaTheme="majorEastAsia"/>
          <w:b w:val="0"/>
          <w:bCs w:val="0"/>
          <w:sz w:val="18"/>
          <w:szCs w:val="18"/>
          <w:lang w:eastAsia="pt-BR"/>
        </w:rPr>
        <w:t xml:space="preserve"> </w:t>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softHyphen/>
      </w:r>
      <w:r>
        <w:rPr>
          <w:rFonts w:hint="default" w:ascii="Arial" w:hAnsi="Arial" w:cs="Arial" w:eastAsiaTheme="majorEastAsia"/>
          <w:b w:val="0"/>
          <w:bCs w:val="0"/>
          <w:sz w:val="18"/>
          <w:szCs w:val="18"/>
          <w:lang w:eastAsia="pt-BR"/>
        </w:rPr>
        <w:t>__________________________</w:t>
      </w:r>
    </w:p>
    <w:p w14:paraId="15A31CF6">
      <w:pPr>
        <w:spacing w:after="0" w:line="240" w:lineRule="auto"/>
        <w:jc w:val="center"/>
        <w:rPr>
          <w:rFonts w:hint="default" w:ascii="Arial" w:hAnsi="Arial" w:cs="Arial"/>
          <w:b w:val="0"/>
          <w:bCs w:val="0"/>
          <w:sz w:val="18"/>
          <w:szCs w:val="18"/>
        </w:rPr>
      </w:pPr>
      <w:r>
        <w:rPr>
          <w:rFonts w:hint="default" w:ascii="Arial" w:hAnsi="Arial" w:cs="Arial"/>
          <w:b w:val="0"/>
          <w:bCs w:val="0"/>
          <w:sz w:val="18"/>
          <w:szCs w:val="18"/>
        </w:rPr>
        <w:t>Natália da Silva Gonçalves Samel</w:t>
      </w:r>
    </w:p>
    <w:p w14:paraId="7C5C10D9">
      <w:pPr>
        <w:spacing w:line="240" w:lineRule="auto"/>
        <w:rPr>
          <w:rFonts w:hint="default" w:ascii="Arial" w:hAnsi="Arial" w:cs="Arial" w:eastAsiaTheme="majorEastAsia"/>
          <w:b w:val="0"/>
          <w:bCs w:val="0"/>
          <w:sz w:val="18"/>
          <w:szCs w:val="18"/>
          <w:lang w:eastAsia="pt-BR"/>
        </w:rPr>
      </w:pPr>
      <w:r>
        <w:rPr>
          <w:rFonts w:hint="default" w:ascii="Arial" w:hAnsi="Arial" w:cs="Arial" w:eastAsiaTheme="majorEastAsia"/>
          <w:b w:val="0"/>
          <w:bCs w:val="0"/>
          <w:sz w:val="18"/>
          <w:szCs w:val="18"/>
          <w:lang w:eastAsia="pt-BR"/>
        </w:rPr>
        <w:t xml:space="preserve">                                                               </w:t>
      </w:r>
      <w:r>
        <w:rPr>
          <w:rFonts w:hint="default" w:ascii="Arial" w:hAnsi="Arial" w:cs="Arial" w:eastAsiaTheme="majorEastAsia"/>
          <w:b w:val="0"/>
          <w:bCs w:val="0"/>
          <w:sz w:val="18"/>
          <w:szCs w:val="18"/>
          <w:lang w:val="en-US" w:eastAsia="pt-BR"/>
        </w:rPr>
        <w:t xml:space="preserve">      </w:t>
      </w:r>
      <w:r>
        <w:rPr>
          <w:rFonts w:hint="default" w:ascii="Arial" w:hAnsi="Arial" w:cs="Arial" w:eastAsiaTheme="majorEastAsia"/>
          <w:b w:val="0"/>
          <w:bCs w:val="0"/>
          <w:sz w:val="18"/>
          <w:szCs w:val="18"/>
          <w:lang w:eastAsia="pt-BR"/>
        </w:rPr>
        <w:t xml:space="preserve">  Fiscal do Contrato/ Sec. Saúde</w:t>
      </w:r>
    </w:p>
    <w:p w14:paraId="7F33E3C1">
      <w:pPr>
        <w:pStyle w:val="220"/>
        <w:autoSpaceDE w:val="0"/>
        <w:autoSpaceDN w:val="0"/>
        <w:adjustRightInd w:val="0"/>
        <w:spacing w:line="360" w:lineRule="auto"/>
        <w:ind w:left="0"/>
        <w:contextualSpacing w:val="0"/>
        <w:jc w:val="center"/>
        <w:rPr>
          <w:rFonts w:ascii="Arial" w:hAnsi="Arial" w:cs="Arial"/>
          <w:b w:val="0"/>
          <w:bCs w:val="0"/>
          <w:sz w:val="32"/>
          <w:szCs w:val="32"/>
        </w:rPr>
      </w:pPr>
    </w:p>
    <w:p w14:paraId="6164B1E1">
      <w:pPr>
        <w:pStyle w:val="220"/>
        <w:autoSpaceDE w:val="0"/>
        <w:autoSpaceDN w:val="0"/>
        <w:adjustRightInd w:val="0"/>
        <w:spacing w:line="360" w:lineRule="auto"/>
        <w:ind w:left="0"/>
        <w:contextualSpacing w:val="0"/>
        <w:jc w:val="center"/>
        <w:rPr>
          <w:rFonts w:ascii="Arial" w:hAnsi="Arial" w:cs="Arial"/>
          <w:b w:val="0"/>
          <w:bCs w:val="0"/>
          <w:sz w:val="32"/>
          <w:szCs w:val="32"/>
        </w:rPr>
      </w:pPr>
    </w:p>
    <w:p w14:paraId="48D16A40">
      <w:pPr>
        <w:pStyle w:val="220"/>
        <w:autoSpaceDE w:val="0"/>
        <w:autoSpaceDN w:val="0"/>
        <w:adjustRightInd w:val="0"/>
        <w:spacing w:line="360" w:lineRule="auto"/>
        <w:ind w:left="0"/>
        <w:contextualSpacing w:val="0"/>
        <w:jc w:val="center"/>
        <w:rPr>
          <w:rFonts w:ascii="Arial" w:hAnsi="Arial" w:cs="Arial"/>
          <w:b w:val="0"/>
          <w:bCs w:val="0"/>
          <w:sz w:val="32"/>
          <w:szCs w:val="32"/>
        </w:rPr>
      </w:pPr>
    </w:p>
    <w:p w14:paraId="765928B8">
      <w:pPr>
        <w:pStyle w:val="220"/>
        <w:autoSpaceDE w:val="0"/>
        <w:autoSpaceDN w:val="0"/>
        <w:adjustRightInd w:val="0"/>
        <w:spacing w:line="360" w:lineRule="auto"/>
        <w:ind w:left="0"/>
        <w:contextualSpacing w:val="0"/>
        <w:jc w:val="center"/>
        <w:rPr>
          <w:rFonts w:ascii="Arial" w:hAnsi="Arial" w:cs="Arial"/>
          <w:b w:val="0"/>
          <w:bCs w:val="0"/>
          <w:sz w:val="32"/>
          <w:szCs w:val="32"/>
        </w:rPr>
      </w:pPr>
    </w:p>
    <w:p w14:paraId="5294E78F">
      <w:pPr>
        <w:pStyle w:val="220"/>
        <w:autoSpaceDE w:val="0"/>
        <w:autoSpaceDN w:val="0"/>
        <w:adjustRightInd w:val="0"/>
        <w:spacing w:line="360" w:lineRule="auto"/>
        <w:ind w:left="0"/>
        <w:contextualSpacing w:val="0"/>
        <w:jc w:val="center"/>
        <w:rPr>
          <w:rFonts w:ascii="Arial" w:hAnsi="Arial" w:cs="Arial"/>
          <w:b w:val="0"/>
          <w:bCs w:val="0"/>
          <w:sz w:val="32"/>
          <w:szCs w:val="32"/>
        </w:rPr>
      </w:pPr>
    </w:p>
    <w:p w14:paraId="45F88301">
      <w:pPr>
        <w:pStyle w:val="220"/>
        <w:autoSpaceDE w:val="0"/>
        <w:autoSpaceDN w:val="0"/>
        <w:adjustRightInd w:val="0"/>
        <w:spacing w:line="360" w:lineRule="auto"/>
        <w:ind w:left="0"/>
        <w:contextualSpacing w:val="0"/>
        <w:jc w:val="center"/>
        <w:rPr>
          <w:rFonts w:ascii="Arial" w:hAnsi="Arial" w:cs="Arial"/>
          <w:b w:val="0"/>
          <w:bCs w:val="0"/>
          <w:sz w:val="32"/>
          <w:szCs w:val="32"/>
        </w:rPr>
      </w:pPr>
    </w:p>
    <w:p w14:paraId="52A2DB1A">
      <w:pPr>
        <w:pStyle w:val="220"/>
        <w:autoSpaceDE w:val="0"/>
        <w:autoSpaceDN w:val="0"/>
        <w:adjustRightInd w:val="0"/>
        <w:spacing w:line="360" w:lineRule="auto"/>
        <w:ind w:left="0"/>
        <w:contextualSpacing w:val="0"/>
        <w:jc w:val="center"/>
        <w:rPr>
          <w:rFonts w:ascii="Arial" w:hAnsi="Arial" w:cs="Arial"/>
          <w:b w:val="0"/>
          <w:bCs w:val="0"/>
          <w:sz w:val="32"/>
          <w:szCs w:val="32"/>
        </w:rPr>
      </w:pPr>
    </w:p>
    <w:p w14:paraId="33E29887">
      <w:pPr>
        <w:pStyle w:val="220"/>
        <w:autoSpaceDE w:val="0"/>
        <w:autoSpaceDN w:val="0"/>
        <w:adjustRightInd w:val="0"/>
        <w:spacing w:line="360" w:lineRule="auto"/>
        <w:ind w:left="0"/>
        <w:contextualSpacing w:val="0"/>
        <w:jc w:val="center"/>
        <w:rPr>
          <w:rFonts w:ascii="Arial" w:hAnsi="Arial" w:cs="Arial"/>
          <w:b w:val="0"/>
          <w:bCs w:val="0"/>
          <w:sz w:val="32"/>
          <w:szCs w:val="32"/>
        </w:rPr>
      </w:pPr>
    </w:p>
    <w:p w14:paraId="18B7D5A0">
      <w:pPr>
        <w:pStyle w:val="220"/>
        <w:autoSpaceDE w:val="0"/>
        <w:autoSpaceDN w:val="0"/>
        <w:adjustRightInd w:val="0"/>
        <w:spacing w:line="360" w:lineRule="auto"/>
        <w:ind w:left="0"/>
        <w:contextualSpacing w:val="0"/>
        <w:jc w:val="center"/>
        <w:rPr>
          <w:rFonts w:ascii="Arial" w:hAnsi="Arial" w:cs="Arial"/>
          <w:b w:val="0"/>
          <w:bCs w:val="0"/>
          <w:sz w:val="32"/>
          <w:szCs w:val="32"/>
        </w:rPr>
      </w:pPr>
    </w:p>
    <w:p w14:paraId="4FA6ECF9">
      <w:pPr>
        <w:pStyle w:val="220"/>
        <w:autoSpaceDE w:val="0"/>
        <w:autoSpaceDN w:val="0"/>
        <w:adjustRightInd w:val="0"/>
        <w:spacing w:line="360" w:lineRule="auto"/>
        <w:ind w:left="0"/>
        <w:contextualSpacing w:val="0"/>
        <w:jc w:val="center"/>
        <w:rPr>
          <w:rFonts w:ascii="Arial" w:hAnsi="Arial" w:cs="Arial"/>
          <w:b w:val="0"/>
          <w:bCs w:val="0"/>
          <w:sz w:val="32"/>
          <w:szCs w:val="32"/>
        </w:rPr>
      </w:pPr>
    </w:p>
    <w:p w14:paraId="1270CBD8">
      <w:pPr>
        <w:pStyle w:val="220"/>
        <w:autoSpaceDE w:val="0"/>
        <w:autoSpaceDN w:val="0"/>
        <w:adjustRightInd w:val="0"/>
        <w:spacing w:line="360" w:lineRule="auto"/>
        <w:ind w:left="0"/>
        <w:contextualSpacing w:val="0"/>
        <w:jc w:val="center"/>
        <w:rPr>
          <w:rFonts w:ascii="Arial" w:hAnsi="Arial" w:cs="Arial"/>
          <w:b w:val="0"/>
          <w:bCs w:val="0"/>
          <w:sz w:val="32"/>
          <w:szCs w:val="32"/>
        </w:rPr>
      </w:pPr>
    </w:p>
    <w:p w14:paraId="3CCFCD97">
      <w:pPr>
        <w:pStyle w:val="220"/>
        <w:autoSpaceDE w:val="0"/>
        <w:autoSpaceDN w:val="0"/>
        <w:adjustRightInd w:val="0"/>
        <w:spacing w:line="360" w:lineRule="auto"/>
        <w:ind w:left="0"/>
        <w:contextualSpacing w:val="0"/>
        <w:jc w:val="center"/>
        <w:rPr>
          <w:rFonts w:ascii="Arial" w:hAnsi="Arial" w:cs="Arial"/>
          <w:b w:val="0"/>
          <w:bCs w:val="0"/>
          <w:sz w:val="32"/>
          <w:szCs w:val="32"/>
        </w:rPr>
      </w:pPr>
    </w:p>
    <w:p w14:paraId="2DE93D24">
      <w:pPr>
        <w:pStyle w:val="220"/>
        <w:autoSpaceDE w:val="0"/>
        <w:autoSpaceDN w:val="0"/>
        <w:adjustRightInd w:val="0"/>
        <w:spacing w:line="360" w:lineRule="auto"/>
        <w:ind w:left="0"/>
        <w:contextualSpacing w:val="0"/>
        <w:jc w:val="center"/>
        <w:rPr>
          <w:rFonts w:ascii="Arial" w:hAnsi="Arial" w:cs="Arial"/>
          <w:b w:val="0"/>
          <w:bCs w:val="0"/>
          <w:sz w:val="32"/>
          <w:szCs w:val="32"/>
        </w:rPr>
      </w:pPr>
    </w:p>
    <w:p w14:paraId="5A8A3F14">
      <w:pPr>
        <w:pStyle w:val="220"/>
        <w:autoSpaceDE w:val="0"/>
        <w:autoSpaceDN w:val="0"/>
        <w:adjustRightInd w:val="0"/>
        <w:spacing w:line="360" w:lineRule="auto"/>
        <w:ind w:left="0"/>
        <w:contextualSpacing w:val="0"/>
        <w:jc w:val="center"/>
        <w:rPr>
          <w:rFonts w:ascii="Arial" w:hAnsi="Arial" w:cs="Arial"/>
          <w:b w:val="0"/>
          <w:bCs w:val="0"/>
          <w:sz w:val="32"/>
          <w:szCs w:val="32"/>
        </w:rPr>
      </w:pPr>
    </w:p>
    <w:p w14:paraId="0BD54965">
      <w:pPr>
        <w:pStyle w:val="220"/>
        <w:autoSpaceDE w:val="0"/>
        <w:autoSpaceDN w:val="0"/>
        <w:adjustRightInd w:val="0"/>
        <w:spacing w:line="360" w:lineRule="auto"/>
        <w:ind w:left="0"/>
        <w:contextualSpacing w:val="0"/>
        <w:jc w:val="center"/>
        <w:rPr>
          <w:rFonts w:ascii="Arial" w:hAnsi="Arial" w:cs="Arial"/>
          <w:b w:val="0"/>
          <w:bCs w:val="0"/>
          <w:sz w:val="32"/>
          <w:szCs w:val="32"/>
        </w:rPr>
      </w:pPr>
    </w:p>
    <w:p w14:paraId="7D7BF19B">
      <w:pPr>
        <w:pStyle w:val="220"/>
        <w:autoSpaceDE w:val="0"/>
        <w:autoSpaceDN w:val="0"/>
        <w:adjustRightInd w:val="0"/>
        <w:spacing w:line="360" w:lineRule="auto"/>
        <w:ind w:left="0"/>
        <w:contextualSpacing w:val="0"/>
        <w:jc w:val="center"/>
        <w:rPr>
          <w:rFonts w:ascii="Arial" w:hAnsi="Arial" w:cs="Arial"/>
          <w:b/>
          <w:bCs/>
          <w:sz w:val="32"/>
          <w:szCs w:val="32"/>
        </w:rPr>
      </w:pPr>
      <w:r>
        <w:rPr>
          <w:rFonts w:ascii="Arial" w:hAnsi="Arial" w:cs="Arial"/>
          <w:b/>
          <w:sz w:val="32"/>
          <w:szCs w:val="32"/>
        </w:rPr>
        <w:t>ANEXO II</w:t>
      </w:r>
    </w:p>
    <w:p w14:paraId="4BAC6F3A">
      <w:pPr>
        <w:pStyle w:val="187"/>
        <w:spacing w:before="0" w:after="0"/>
        <w:ind w:firstLine="567"/>
        <w:jc w:val="center"/>
      </w:pPr>
      <w:r>
        <w:t>MODELO DE PROPOSTA COMERCIAL</w:t>
      </w:r>
    </w:p>
    <w:p w14:paraId="637B93BD">
      <w:pPr>
        <w:ind w:firstLine="567"/>
        <w:jc w:val="center"/>
        <w:rPr>
          <w:color w:val="FF0000"/>
        </w:rPr>
      </w:pPr>
    </w:p>
    <w:p w14:paraId="2E58F55A">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065/2025</w:t>
      </w:r>
    </w:p>
    <w:p w14:paraId="3D83E3B8">
      <w:pPr>
        <w:jc w:val="center"/>
        <w:rPr>
          <w:rFonts w:hint="default" w:ascii="Arial" w:hAnsi="Arial" w:cs="Arial"/>
          <w:b/>
          <w:bCs/>
          <w:color w:val="auto"/>
          <w:sz w:val="20"/>
          <w:szCs w:val="20"/>
          <w:lang w:val="pt-BR"/>
        </w:rPr>
      </w:pPr>
      <w:r>
        <w:rPr>
          <w:rFonts w:ascii="Arial" w:hAnsi="Arial" w:cs="Arial"/>
          <w:b/>
          <w:bCs/>
          <w:color w:val="auto"/>
          <w:sz w:val="20"/>
          <w:szCs w:val="20"/>
        </w:rPr>
        <w:t xml:space="preserve">PREGÃO ELETRÔNICO N° </w:t>
      </w:r>
      <w:r>
        <w:rPr>
          <w:rFonts w:hint="default" w:ascii="Arial" w:hAnsi="Arial" w:cs="Arial"/>
          <w:b/>
          <w:bCs/>
          <w:color w:val="auto"/>
          <w:sz w:val="20"/>
          <w:szCs w:val="20"/>
          <w:lang w:val="pt-BR"/>
        </w:rPr>
        <w:t>036/2025</w:t>
      </w:r>
    </w:p>
    <w:p w14:paraId="0621CB31">
      <w:pPr>
        <w:jc w:val="center"/>
        <w:rPr>
          <w:rFonts w:hint="default" w:ascii="Arial" w:hAnsi="Arial" w:cs="Arial"/>
          <w:b/>
          <w:bCs/>
          <w:color w:val="auto"/>
          <w:sz w:val="20"/>
          <w:szCs w:val="20"/>
          <w:lang w:val="pt-BR"/>
        </w:rPr>
      </w:pPr>
      <w:r>
        <w:rPr>
          <w:rFonts w:ascii="Arial" w:hAnsi="Arial" w:cs="Arial"/>
          <w:b/>
          <w:bCs/>
          <w:color w:val="auto"/>
          <w:sz w:val="20"/>
          <w:szCs w:val="20"/>
        </w:rPr>
        <w:t xml:space="preserve">REGISTRO DE PREÇOS N° </w:t>
      </w:r>
      <w:r>
        <w:rPr>
          <w:rFonts w:ascii="Arial" w:hAnsi="Arial" w:cs="Arial"/>
          <w:b/>
          <w:bCs/>
          <w:color w:val="auto"/>
          <w:sz w:val="20"/>
          <w:szCs w:val="20"/>
          <w:lang w:val="pt-BR"/>
        </w:rPr>
        <w:t>0</w:t>
      </w:r>
      <w:r>
        <w:rPr>
          <w:rFonts w:hint="default" w:ascii="Arial" w:hAnsi="Arial" w:cs="Arial"/>
          <w:b/>
          <w:bCs/>
          <w:color w:val="auto"/>
          <w:sz w:val="20"/>
          <w:szCs w:val="20"/>
          <w:lang w:val="pt-BR"/>
        </w:rPr>
        <w:t>34/2025</w:t>
      </w:r>
    </w:p>
    <w:p w14:paraId="6DCF5E8D">
      <w:pPr>
        <w:ind w:firstLine="567"/>
        <w:jc w:val="center"/>
        <w:rPr>
          <w:rFonts w:ascii="Arial" w:hAnsi="Arial" w:cs="Arial"/>
          <w:b/>
          <w:bCs/>
          <w:color w:val="000000"/>
          <w:sz w:val="20"/>
          <w:szCs w:val="20"/>
        </w:rPr>
      </w:pPr>
    </w:p>
    <w:p w14:paraId="4E995168">
      <w:pPr>
        <w:spacing w:line="276" w:lineRule="auto"/>
        <w:ind w:left="-142"/>
        <w:rPr>
          <w:rFonts w:hint="default" w:ascii="Arial" w:hAnsi="Arial" w:cs="Arial"/>
          <w:sz w:val="20"/>
          <w:szCs w:val="20"/>
          <w:lang w:val="pt-BR"/>
        </w:rPr>
      </w:pPr>
      <w:r>
        <w:rPr>
          <w:rFonts w:ascii="Arial" w:hAnsi="Arial" w:cs="Arial"/>
          <w:sz w:val="20"/>
          <w:szCs w:val="20"/>
        </w:rPr>
        <w:t xml:space="preserve">Tipo de Licitação: </w:t>
      </w:r>
      <w:r>
        <w:rPr>
          <w:rFonts w:hint="default" w:ascii="Arial" w:hAnsi="Arial" w:cs="Arial"/>
          <w:sz w:val="20"/>
          <w:szCs w:val="20"/>
          <w:lang w:val="pt-BR"/>
        </w:rPr>
        <w:t>M</w:t>
      </w:r>
      <w:r>
        <w:rPr>
          <w:rFonts w:ascii="Arial" w:hAnsi="Arial" w:cs="Arial"/>
          <w:sz w:val="20"/>
          <w:szCs w:val="20"/>
          <w:lang w:val="pt-BR"/>
        </w:rPr>
        <w:t>aior desconto</w:t>
      </w:r>
    </w:p>
    <w:p w14:paraId="5A523877">
      <w:pPr>
        <w:spacing w:line="276" w:lineRule="auto"/>
        <w:ind w:left="-142"/>
        <w:rPr>
          <w:rFonts w:ascii="Arial" w:hAnsi="Arial" w:cs="Arial"/>
          <w:sz w:val="20"/>
          <w:szCs w:val="20"/>
        </w:rPr>
      </w:pPr>
      <w:r>
        <w:rPr>
          <w:rFonts w:ascii="Arial" w:hAnsi="Arial" w:cs="Arial"/>
          <w:b w:val="0"/>
          <w:bCs w:val="0"/>
          <w:sz w:val="20"/>
          <w:szCs w:val="20"/>
        </w:rPr>
        <w:t xml:space="preserve">Data: </w:t>
      </w:r>
      <w:r>
        <w:rPr>
          <w:rFonts w:hint="default" w:ascii="Arial" w:hAnsi="Arial" w:cs="Arial"/>
          <w:b w:val="0"/>
          <w:bCs w:val="0"/>
          <w:sz w:val="20"/>
          <w:szCs w:val="20"/>
          <w:lang w:val="pt-BR"/>
        </w:rPr>
        <w:t xml:space="preserve">16 de maio </w:t>
      </w:r>
      <w:r>
        <w:rPr>
          <w:rFonts w:ascii="Arial" w:hAnsi="Arial" w:cs="Arial"/>
          <w:b w:val="0"/>
          <w:bCs w:val="0"/>
          <w:sz w:val="20"/>
          <w:szCs w:val="20"/>
        </w:rPr>
        <w:t>de 202</w:t>
      </w:r>
      <w:r>
        <w:rPr>
          <w:rFonts w:hint="default" w:ascii="Arial" w:hAnsi="Arial" w:cs="Arial"/>
          <w:b w:val="0"/>
          <w:bCs w:val="0"/>
          <w:sz w:val="20"/>
          <w:szCs w:val="20"/>
          <w:lang w:val="pt-BR"/>
        </w:rPr>
        <w:t>5</w:t>
      </w:r>
      <w:r>
        <w:rPr>
          <w:rFonts w:ascii="Arial" w:hAnsi="Arial" w:cs="Arial"/>
          <w:b/>
          <w:bCs/>
          <w:sz w:val="20"/>
          <w:szCs w:val="20"/>
        </w:rPr>
        <w:tab/>
      </w:r>
      <w:r>
        <w:rPr>
          <w:rFonts w:ascii="Arial" w:hAnsi="Arial" w:cs="Arial"/>
          <w:sz w:val="20"/>
          <w:szCs w:val="20"/>
        </w:rPr>
        <w:tab/>
      </w:r>
      <w:r>
        <w:rPr>
          <w:rFonts w:ascii="Arial" w:hAnsi="Arial" w:cs="Arial"/>
          <w:sz w:val="20"/>
          <w:szCs w:val="20"/>
        </w:rPr>
        <w:t>Horário: 9 (nove) horas</w:t>
      </w:r>
    </w:p>
    <w:p w14:paraId="503AC737">
      <w:pPr>
        <w:spacing w:line="276" w:lineRule="auto"/>
        <w:ind w:left="-142"/>
        <w:rPr>
          <w:rFonts w:ascii="Arial" w:hAnsi="Arial" w:cs="Arial"/>
          <w:sz w:val="20"/>
          <w:szCs w:val="20"/>
        </w:rPr>
      </w:pPr>
      <w:r>
        <w:rPr>
          <w:rFonts w:ascii="Arial" w:hAnsi="Arial" w:cs="Arial"/>
          <w:sz w:val="20"/>
          <w:szCs w:val="20"/>
        </w:rPr>
        <w:t>Local: www.comprasnet.com.br</w:t>
      </w:r>
    </w:p>
    <w:p w14:paraId="17C2D49B">
      <w:pPr>
        <w:spacing w:line="276" w:lineRule="auto"/>
        <w:ind w:left="-142"/>
        <w:rPr>
          <w:rFonts w:ascii="Arial" w:hAnsi="Arial" w:cs="Arial"/>
          <w:sz w:val="20"/>
          <w:szCs w:val="20"/>
        </w:rPr>
      </w:pPr>
      <w:r>
        <w:rPr>
          <w:rFonts w:ascii="Arial" w:hAnsi="Arial" w:cs="Arial"/>
          <w:sz w:val="20"/>
          <w:szCs w:val="20"/>
        </w:rPr>
        <w:t>RAZÃO SOCIAL DA LICITANTE:</w:t>
      </w:r>
    </w:p>
    <w:p w14:paraId="7DBB052D">
      <w:pPr>
        <w:spacing w:line="276" w:lineRule="auto"/>
        <w:ind w:left="-142"/>
        <w:rPr>
          <w:rFonts w:ascii="Arial" w:hAnsi="Arial" w:cs="Arial"/>
          <w:sz w:val="20"/>
          <w:szCs w:val="20"/>
        </w:rPr>
      </w:pPr>
      <w:r>
        <w:rPr>
          <w:rFonts w:ascii="Arial" w:hAnsi="Arial" w:cs="Arial"/>
          <w:sz w:val="20"/>
          <w:szCs w:val="20"/>
        </w:rPr>
        <w:t>CNPJ:</w:t>
      </w:r>
    </w:p>
    <w:p w14:paraId="5DBABA17">
      <w:pPr>
        <w:spacing w:line="276" w:lineRule="auto"/>
        <w:ind w:left="-142"/>
        <w:rPr>
          <w:rFonts w:ascii="Arial" w:hAnsi="Arial" w:cs="Arial"/>
          <w:sz w:val="20"/>
          <w:szCs w:val="20"/>
        </w:rPr>
      </w:pPr>
      <w:r>
        <w:rPr>
          <w:rFonts w:ascii="Arial" w:hAnsi="Arial" w:cs="Arial"/>
          <w:sz w:val="20"/>
          <w:szCs w:val="20"/>
        </w:rPr>
        <w:t>ENDEREÇO:</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TELEFONE:</w:t>
      </w:r>
    </w:p>
    <w:p w14:paraId="0169505D">
      <w:pPr>
        <w:spacing w:line="276" w:lineRule="auto"/>
        <w:ind w:left="-142"/>
        <w:rPr>
          <w:rFonts w:ascii="Arial" w:hAnsi="Arial" w:cs="Arial"/>
          <w:sz w:val="20"/>
          <w:szCs w:val="20"/>
        </w:rPr>
      </w:pPr>
      <w:r>
        <w:rPr>
          <w:rFonts w:ascii="Arial" w:hAnsi="Arial" w:cs="Arial"/>
          <w:sz w:val="20"/>
          <w:szCs w:val="20"/>
        </w:rPr>
        <w:t>EMAIL:</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DADOS BANCÁRIOS:</w:t>
      </w:r>
    </w:p>
    <w:p w14:paraId="22D86550">
      <w:pPr>
        <w:spacing w:line="276" w:lineRule="auto"/>
        <w:ind w:left="-142"/>
        <w:rPr>
          <w:rFonts w:ascii="Arial" w:hAnsi="Arial" w:cs="Arial"/>
          <w:sz w:val="18"/>
          <w:szCs w:val="18"/>
        </w:rPr>
      </w:pPr>
    </w:p>
    <w:tbl>
      <w:tblPr>
        <w:tblStyle w:val="4"/>
        <w:tblW w:w="9633" w:type="dxa"/>
        <w:jc w:val="center"/>
        <w:tblLayout w:type="autofit"/>
        <w:tblCellMar>
          <w:top w:w="0" w:type="dxa"/>
          <w:left w:w="70" w:type="dxa"/>
          <w:bottom w:w="0" w:type="dxa"/>
          <w:right w:w="70" w:type="dxa"/>
        </w:tblCellMar>
      </w:tblPr>
      <w:tblGrid>
        <w:gridCol w:w="890"/>
        <w:gridCol w:w="5624"/>
        <w:gridCol w:w="3119"/>
      </w:tblGrid>
      <w:tr w14:paraId="5D041204">
        <w:tblPrEx>
          <w:tblCellMar>
            <w:top w:w="0" w:type="dxa"/>
            <w:left w:w="70" w:type="dxa"/>
            <w:bottom w:w="0" w:type="dxa"/>
            <w:right w:w="70" w:type="dxa"/>
          </w:tblCellMar>
        </w:tblPrEx>
        <w:trPr>
          <w:trHeight w:val="485" w:hRule="atLeast"/>
          <w:jc w:val="center"/>
        </w:trPr>
        <w:tc>
          <w:tcPr>
            <w:tcW w:w="890" w:type="dxa"/>
            <w:tcBorders>
              <w:top w:val="single" w:color="auto" w:sz="8" w:space="0"/>
              <w:left w:val="single" w:color="auto" w:sz="8" w:space="0"/>
              <w:bottom w:val="single" w:color="auto" w:sz="4" w:space="0"/>
              <w:right w:val="single" w:color="auto" w:sz="8" w:space="0"/>
            </w:tcBorders>
            <w:shd w:val="clear" w:color="auto" w:fill="auto"/>
          </w:tcPr>
          <w:p w14:paraId="23394F79">
            <w:pPr>
              <w:jc w:val="center"/>
              <w:rPr>
                <w:rFonts w:ascii="Arial" w:hAnsi="Arial" w:cs="Arial"/>
                <w:b/>
                <w:bCs/>
                <w:color w:val="000000"/>
                <w:sz w:val="18"/>
                <w:szCs w:val="18"/>
              </w:rPr>
            </w:pPr>
            <w:r>
              <w:rPr>
                <w:rFonts w:ascii="Arial" w:hAnsi="Arial" w:cs="Arial"/>
                <w:b/>
                <w:bCs/>
                <w:color w:val="000000"/>
                <w:sz w:val="18"/>
                <w:szCs w:val="18"/>
              </w:rPr>
              <w:t>ITEM</w:t>
            </w:r>
          </w:p>
        </w:tc>
        <w:tc>
          <w:tcPr>
            <w:tcW w:w="5624" w:type="dxa"/>
            <w:tcBorders>
              <w:top w:val="single" w:color="auto" w:sz="8" w:space="0"/>
              <w:left w:val="nil"/>
              <w:bottom w:val="single" w:color="auto" w:sz="4" w:space="0"/>
              <w:right w:val="single" w:color="auto" w:sz="8" w:space="0"/>
            </w:tcBorders>
            <w:shd w:val="clear" w:color="auto" w:fill="auto"/>
          </w:tcPr>
          <w:p w14:paraId="6D7D2E36">
            <w:pPr>
              <w:jc w:val="center"/>
              <w:rPr>
                <w:rFonts w:ascii="Arial" w:hAnsi="Arial" w:cs="Arial"/>
                <w:b/>
                <w:bCs/>
                <w:color w:val="000000"/>
                <w:sz w:val="18"/>
                <w:szCs w:val="18"/>
              </w:rPr>
            </w:pPr>
            <w:r>
              <w:rPr>
                <w:rFonts w:ascii="Arial" w:hAnsi="Arial" w:cs="Arial"/>
                <w:b/>
                <w:bCs/>
                <w:color w:val="000000"/>
                <w:sz w:val="18"/>
                <w:szCs w:val="18"/>
              </w:rPr>
              <w:t>ESPECIFICAÇÃO</w:t>
            </w:r>
          </w:p>
        </w:tc>
        <w:tc>
          <w:tcPr>
            <w:tcW w:w="3119" w:type="dxa"/>
            <w:tcBorders>
              <w:top w:val="single" w:color="auto" w:sz="8" w:space="0"/>
              <w:left w:val="nil"/>
              <w:bottom w:val="single" w:color="auto" w:sz="4" w:space="0"/>
              <w:right w:val="single" w:color="auto" w:sz="8" w:space="0"/>
            </w:tcBorders>
            <w:shd w:val="clear" w:color="auto" w:fill="auto"/>
          </w:tcPr>
          <w:p w14:paraId="018F0020">
            <w:pPr>
              <w:jc w:val="center"/>
              <w:rPr>
                <w:rFonts w:ascii="Arial" w:hAnsi="Arial" w:cs="Arial"/>
                <w:b/>
                <w:bCs/>
                <w:color w:val="000000"/>
                <w:sz w:val="18"/>
                <w:szCs w:val="18"/>
              </w:rPr>
            </w:pPr>
            <w:r>
              <w:rPr>
                <w:rFonts w:hint="default" w:ascii="Arial" w:hAnsi="Arial" w:cs="Arial"/>
                <w:b/>
                <w:bCs/>
                <w:color w:val="000000"/>
                <w:sz w:val="18"/>
                <w:szCs w:val="18"/>
                <w:lang w:val="pt-BR"/>
              </w:rPr>
              <w:t>Percentual de</w:t>
            </w:r>
            <w:r>
              <w:rPr>
                <w:rFonts w:ascii="Arial" w:hAnsi="Arial" w:cs="Arial"/>
                <w:b/>
                <w:bCs/>
                <w:color w:val="000000"/>
                <w:sz w:val="18"/>
                <w:szCs w:val="18"/>
              </w:rPr>
              <w:t xml:space="preserve"> </w:t>
            </w:r>
            <w:r>
              <w:rPr>
                <w:rFonts w:ascii="Arial" w:hAnsi="Arial" w:cs="Arial"/>
                <w:b/>
                <w:bCs/>
                <w:color w:val="000000"/>
                <w:sz w:val="18"/>
                <w:szCs w:val="18"/>
                <w:lang w:val="pt-BR"/>
              </w:rPr>
              <w:t xml:space="preserve"> desconto</w:t>
            </w:r>
            <w:r>
              <w:rPr>
                <w:rFonts w:hint="default" w:ascii="Arial" w:hAnsi="Arial" w:cs="Arial"/>
                <w:b/>
                <w:bCs/>
                <w:color w:val="000000"/>
                <w:sz w:val="18"/>
                <w:szCs w:val="18"/>
                <w:lang w:val="pt-BR"/>
              </w:rPr>
              <w:t xml:space="preserve">  sobre a Tabela CMED/Anvisa no PMVG (Preço máximo de venda ao governo)</w:t>
            </w:r>
          </w:p>
        </w:tc>
      </w:tr>
      <w:tr w14:paraId="57F67C9B">
        <w:tblPrEx>
          <w:tblCellMar>
            <w:top w:w="0" w:type="dxa"/>
            <w:left w:w="70" w:type="dxa"/>
            <w:bottom w:w="0" w:type="dxa"/>
            <w:right w:w="70" w:type="dxa"/>
          </w:tblCellMar>
        </w:tblPrEx>
        <w:trPr>
          <w:trHeight w:val="315" w:hRule="atLeast"/>
          <w:jc w:val="center"/>
        </w:trPr>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570F037E">
            <w:pPr>
              <w:jc w:val="center"/>
              <w:rPr>
                <w:rFonts w:ascii="Arial" w:hAnsi="Arial" w:eastAsia="Tahoma" w:cs="Arial"/>
                <w:sz w:val="18"/>
                <w:szCs w:val="18"/>
              </w:rPr>
            </w:pPr>
            <w:r>
              <w:rPr>
                <w:rFonts w:ascii="Arial" w:hAnsi="Arial" w:eastAsia="Tahoma" w:cs="Arial"/>
                <w:sz w:val="18"/>
                <w:szCs w:val="18"/>
              </w:rPr>
              <w:t xml:space="preserve">                                                                                                                              1</w:t>
            </w:r>
          </w:p>
        </w:tc>
        <w:tc>
          <w:tcPr>
            <w:tcW w:w="5624" w:type="dxa"/>
            <w:tcBorders>
              <w:top w:val="single" w:color="auto" w:sz="4" w:space="0"/>
              <w:left w:val="single" w:color="auto" w:sz="4" w:space="0"/>
              <w:bottom w:val="single" w:color="auto" w:sz="4" w:space="0"/>
              <w:right w:val="single" w:color="auto" w:sz="4" w:space="0"/>
            </w:tcBorders>
            <w:shd w:val="clear" w:color="auto" w:fill="auto"/>
            <w:vAlign w:val="top"/>
          </w:tcPr>
          <w:p w14:paraId="6CB974DE">
            <w:pPr>
              <w:pageBreakBefore w:val="0"/>
              <w:widowControl/>
              <w:kinsoku/>
              <w:wordWrap/>
              <w:overflowPunct/>
              <w:topLinePunct w:val="0"/>
              <w:bidi w:val="0"/>
              <w:snapToGrid/>
              <w:spacing w:line="360" w:lineRule="auto"/>
              <w:ind w:left="0" w:leftChars="0" w:firstLine="0" w:firstLineChars="0"/>
              <w:jc w:val="both"/>
              <w:rPr>
                <w:rFonts w:ascii="Arial" w:hAnsi="Arial" w:cs="Arial"/>
                <w:color w:val="000000"/>
                <w:sz w:val="18"/>
                <w:szCs w:val="18"/>
              </w:rPr>
            </w:pPr>
            <w:r>
              <w:rPr>
                <w:rFonts w:hint="default" w:ascii="Arial" w:hAnsi="Arial" w:cs="Arial"/>
                <w:sz w:val="18"/>
                <w:szCs w:val="18"/>
              </w:rPr>
              <w:t>Medicamentos REFERÊNCIA (ÉTICOS e BIOLÓGICOS) de “A à Z”, descritos na Tabela CMED/ANVISA – COLUNA – PMVG – ICMS 18%.</w:t>
            </w:r>
          </w:p>
        </w:tc>
        <w:tc>
          <w:tcPr>
            <w:tcW w:w="3119" w:type="dxa"/>
            <w:tcBorders>
              <w:top w:val="single" w:color="auto" w:sz="4" w:space="0"/>
              <w:left w:val="single" w:color="auto" w:sz="4" w:space="0"/>
              <w:bottom w:val="single" w:color="auto" w:sz="4" w:space="0"/>
              <w:right w:val="single" w:color="auto" w:sz="4" w:space="0"/>
            </w:tcBorders>
            <w:shd w:val="clear" w:color="auto" w:fill="auto"/>
          </w:tcPr>
          <w:p w14:paraId="67C8AD21">
            <w:pPr>
              <w:jc w:val="center"/>
              <w:rPr>
                <w:rFonts w:ascii="Arial" w:hAnsi="Arial" w:cs="Arial"/>
                <w:color w:val="000000"/>
                <w:sz w:val="18"/>
                <w:szCs w:val="18"/>
              </w:rPr>
            </w:pPr>
            <w:r>
              <w:rPr>
                <w:rFonts w:ascii="Arial" w:hAnsi="Arial" w:cs="Arial"/>
                <w:color w:val="000000"/>
                <w:sz w:val="18"/>
                <w:szCs w:val="18"/>
              </w:rPr>
              <w:t> </w:t>
            </w:r>
          </w:p>
        </w:tc>
      </w:tr>
    </w:tbl>
    <w:p w14:paraId="2D69ED95">
      <w:pPr>
        <w:spacing w:line="276" w:lineRule="auto"/>
        <w:ind w:left="-142"/>
        <w:rPr>
          <w:rFonts w:ascii="Arial" w:hAnsi="Arial" w:cs="Arial"/>
          <w:sz w:val="18"/>
          <w:szCs w:val="18"/>
        </w:rPr>
      </w:pPr>
    </w:p>
    <w:p w14:paraId="0AD89800">
      <w:pPr>
        <w:spacing w:line="276" w:lineRule="auto"/>
        <w:ind w:left="-142"/>
        <w:rPr>
          <w:rFonts w:ascii="Arial" w:hAnsi="Arial" w:cs="Arial"/>
          <w:sz w:val="18"/>
          <w:szCs w:val="18"/>
        </w:rPr>
      </w:pPr>
    </w:p>
    <w:p w14:paraId="218C96BB">
      <w:pPr>
        <w:spacing w:line="276" w:lineRule="auto"/>
        <w:ind w:left="-142"/>
        <w:rPr>
          <w:rFonts w:ascii="Arial" w:hAnsi="Arial" w:cs="Arial"/>
          <w:sz w:val="18"/>
          <w:szCs w:val="18"/>
        </w:rPr>
      </w:pPr>
      <w:r>
        <w:rPr>
          <w:rFonts w:ascii="Arial" w:hAnsi="Arial" w:cs="Arial"/>
          <w:sz w:val="18"/>
          <w:szCs w:val="18"/>
        </w:rPr>
        <w:t>Declaramos para os devidos fins e sob as penas da lei que:</w:t>
      </w:r>
    </w:p>
    <w:p w14:paraId="1A3974B6">
      <w:pPr>
        <w:spacing w:line="276" w:lineRule="auto"/>
        <w:ind w:left="-142"/>
        <w:rPr>
          <w:rFonts w:ascii="Arial" w:hAnsi="Arial" w:cs="Arial"/>
          <w:sz w:val="18"/>
          <w:szCs w:val="18"/>
        </w:rPr>
      </w:pPr>
      <w:r>
        <w:rPr>
          <w:rFonts w:ascii="Arial" w:hAnsi="Arial" w:cs="Arial"/>
          <w:sz w:val="18"/>
          <w:szCs w:val="18"/>
          <w:lang w:val="pt-PT"/>
        </w:rPr>
        <w:t>1- Estão incluídas, nos preços cotados, todas as despesas, de qualquer natureza, incidentes sobre o cumprimento do objeto deste Pregão.</w:t>
      </w:r>
    </w:p>
    <w:p w14:paraId="44E5CC09">
      <w:pPr>
        <w:spacing w:line="276" w:lineRule="auto"/>
        <w:ind w:left="-142"/>
        <w:rPr>
          <w:rFonts w:ascii="Arial" w:hAnsi="Arial" w:cs="Arial"/>
          <w:sz w:val="18"/>
          <w:szCs w:val="18"/>
        </w:rPr>
      </w:pPr>
      <w:r>
        <w:rPr>
          <w:rFonts w:ascii="Arial" w:hAnsi="Arial" w:cs="Arial"/>
          <w:sz w:val="18"/>
          <w:szCs w:val="18"/>
          <w:lang w:val="pt-PT"/>
        </w:rPr>
        <w:t>2- Será cumprido o fornecimento de acordo com a especificação da proposta e com o edital, a partir da assinatura do contrato.</w:t>
      </w:r>
    </w:p>
    <w:p w14:paraId="0CC90B5E">
      <w:pPr>
        <w:spacing w:line="276" w:lineRule="auto"/>
        <w:ind w:left="-142"/>
        <w:rPr>
          <w:rFonts w:hint="default" w:ascii="Arial" w:hAnsi="Arial" w:cs="Arial"/>
          <w:sz w:val="18"/>
          <w:szCs w:val="18"/>
          <w:lang w:val="pt-BR"/>
        </w:rPr>
      </w:pPr>
      <w:r>
        <w:rPr>
          <w:rFonts w:ascii="Arial" w:hAnsi="Arial" w:cs="Arial"/>
          <w:sz w:val="18"/>
          <w:szCs w:val="18"/>
          <w:lang w:val="pt-PT"/>
        </w:rPr>
        <w:t xml:space="preserve">3- Esta proposta tem validade de </w:t>
      </w:r>
      <w:r>
        <w:rPr>
          <w:rFonts w:hint="default" w:ascii="Arial" w:hAnsi="Arial" w:cs="Arial"/>
          <w:sz w:val="18"/>
          <w:szCs w:val="18"/>
          <w:lang w:val="pt-BR"/>
        </w:rPr>
        <w:t>_______</w:t>
      </w:r>
      <w:r>
        <w:rPr>
          <w:rFonts w:ascii="Arial" w:hAnsi="Arial" w:cs="Arial"/>
          <w:sz w:val="18"/>
          <w:szCs w:val="18"/>
          <w:lang w:val="pt-PT"/>
        </w:rPr>
        <w:t>dias</w:t>
      </w:r>
      <w:r>
        <w:rPr>
          <w:rFonts w:hint="default" w:ascii="Arial" w:hAnsi="Arial" w:cs="Arial"/>
          <w:sz w:val="18"/>
          <w:szCs w:val="18"/>
          <w:lang w:val="pt-BR"/>
        </w:rPr>
        <w:t>. (mínimo de 60 dias)</w:t>
      </w:r>
    </w:p>
    <w:p w14:paraId="712B4E61">
      <w:pPr>
        <w:spacing w:line="276" w:lineRule="auto"/>
        <w:ind w:left="-142"/>
        <w:rPr>
          <w:rFonts w:hint="default" w:ascii="Arial" w:hAnsi="Arial" w:cs="Arial"/>
          <w:sz w:val="18"/>
          <w:szCs w:val="18"/>
          <w:lang w:val="pt-BR"/>
        </w:rPr>
      </w:pPr>
    </w:p>
    <w:p w14:paraId="4060EBE0">
      <w:pPr>
        <w:spacing w:line="276" w:lineRule="auto"/>
        <w:ind w:left="-142"/>
        <w:rPr>
          <w:rFonts w:ascii="Arial" w:hAnsi="Arial" w:cs="Arial"/>
          <w:sz w:val="20"/>
          <w:szCs w:val="20"/>
          <w:lang w:val="pt-PT"/>
        </w:rPr>
      </w:pPr>
    </w:p>
    <w:p w14:paraId="717C6991">
      <w:pPr>
        <w:tabs>
          <w:tab w:val="left" w:pos="567"/>
          <w:tab w:val="left" w:pos="1134"/>
          <w:tab w:val="left" w:pos="1418"/>
          <w:tab w:val="left" w:pos="2410"/>
          <w:tab w:val="left" w:pos="2552"/>
        </w:tabs>
        <w:spacing w:line="276" w:lineRule="auto"/>
        <w:ind w:left="425" w:firstLine="567"/>
        <w:jc w:val="center"/>
        <w:rPr>
          <w:rFonts w:hint="default" w:ascii="Arial" w:hAnsi="Arial" w:cs="Arial"/>
          <w:sz w:val="20"/>
          <w:szCs w:val="20"/>
          <w:lang w:val="pt-BR"/>
        </w:rPr>
      </w:pPr>
      <w:r>
        <w:rPr>
          <w:rFonts w:hint="default" w:ascii="Arial" w:hAnsi="Arial" w:cs="Arial"/>
          <w:b/>
          <w:bCs/>
          <w:sz w:val="20"/>
          <w:szCs w:val="20"/>
          <w:lang w:val="pt-BR"/>
        </w:rPr>
        <w:t xml:space="preserve"> </w:t>
      </w:r>
      <w:r>
        <w:rPr>
          <w:rFonts w:ascii="Arial" w:hAnsi="Arial" w:cs="Arial"/>
          <w:b/>
          <w:bCs/>
          <w:sz w:val="20"/>
          <w:szCs w:val="20"/>
          <w:lang w:val="pt-PT"/>
        </w:rPr>
        <w:t xml:space="preserve">_____________________, _____ de _____________ de </w:t>
      </w:r>
      <w:r>
        <w:rPr>
          <w:rFonts w:ascii="Arial" w:hAnsi="Arial" w:cs="Arial"/>
          <w:b/>
          <w:bCs/>
          <w:sz w:val="20"/>
          <w:szCs w:val="20"/>
          <w:lang w:val="pt-BR"/>
        </w:rPr>
        <w:t>2025</w:t>
      </w:r>
    </w:p>
    <w:p w14:paraId="742BF3A5">
      <w:pPr>
        <w:spacing w:line="276" w:lineRule="auto"/>
        <w:ind w:firstLine="567"/>
        <w:jc w:val="center"/>
        <w:rPr>
          <w:rFonts w:ascii="Arial" w:hAnsi="Arial" w:cs="Arial"/>
          <w:b/>
          <w:bCs/>
          <w:sz w:val="20"/>
          <w:szCs w:val="20"/>
        </w:rPr>
      </w:pPr>
      <w:r>
        <w:rPr>
          <w:rFonts w:ascii="Arial" w:hAnsi="Arial" w:cs="Arial"/>
          <w:b/>
          <w:bCs/>
          <w:sz w:val="20"/>
          <w:szCs w:val="20"/>
        </w:rPr>
        <w:t>(Cidade e data)</w:t>
      </w:r>
    </w:p>
    <w:p w14:paraId="06ACF71C">
      <w:pPr>
        <w:spacing w:line="276" w:lineRule="auto"/>
        <w:ind w:firstLine="567"/>
        <w:jc w:val="center"/>
        <w:rPr>
          <w:rFonts w:ascii="Arial" w:hAnsi="Arial" w:cs="Arial"/>
          <w:b/>
          <w:bCs/>
          <w:sz w:val="20"/>
          <w:szCs w:val="20"/>
        </w:rPr>
      </w:pPr>
    </w:p>
    <w:p w14:paraId="0406175C">
      <w:pPr>
        <w:spacing w:line="276" w:lineRule="auto"/>
        <w:ind w:firstLine="567"/>
        <w:jc w:val="center"/>
        <w:rPr>
          <w:rFonts w:ascii="Arial" w:hAnsi="Arial" w:cs="Arial"/>
          <w:sz w:val="20"/>
          <w:szCs w:val="20"/>
        </w:rPr>
      </w:pPr>
      <w:r>
        <w:rPr>
          <w:rFonts w:ascii="Arial" w:hAnsi="Arial" w:cs="Arial"/>
          <w:b/>
          <w:bCs/>
          <w:sz w:val="20"/>
          <w:szCs w:val="20"/>
        </w:rPr>
        <w:t>_____________________________________________</w:t>
      </w:r>
    </w:p>
    <w:p w14:paraId="2BE07C65">
      <w:pPr>
        <w:spacing w:line="276" w:lineRule="auto"/>
        <w:ind w:firstLine="567"/>
        <w:jc w:val="center"/>
        <w:rPr>
          <w:rFonts w:ascii="Arial" w:hAnsi="Arial" w:cs="Arial"/>
          <w:b/>
          <w:bCs/>
          <w:sz w:val="32"/>
          <w:szCs w:val="32"/>
        </w:rPr>
      </w:pPr>
      <w:r>
        <w:rPr>
          <w:rFonts w:ascii="Arial" w:hAnsi="Arial" w:cs="Arial"/>
          <w:b/>
          <w:bCs/>
          <w:sz w:val="20"/>
          <w:szCs w:val="20"/>
        </w:rPr>
        <w:t>(representante legal</w:t>
      </w:r>
      <w:r>
        <w:rPr>
          <w:rFonts w:hint="default" w:ascii="Arial" w:hAnsi="Arial" w:cs="Arial"/>
          <w:b/>
          <w:bCs/>
          <w:sz w:val="20"/>
          <w:szCs w:val="20"/>
          <w:lang w:val="pt-BR"/>
        </w:rPr>
        <w:t>)</w:t>
      </w:r>
    </w:p>
    <w:p w14:paraId="4946770C">
      <w:pPr>
        <w:jc w:val="center"/>
        <w:rPr>
          <w:rFonts w:ascii="Arial" w:hAnsi="Arial" w:cs="Arial"/>
          <w:b/>
          <w:bCs/>
          <w:sz w:val="32"/>
          <w:szCs w:val="32"/>
        </w:rPr>
      </w:pPr>
    </w:p>
    <w:p w14:paraId="24F5C609">
      <w:pPr>
        <w:jc w:val="center"/>
        <w:rPr>
          <w:rFonts w:ascii="Arial" w:hAnsi="Arial" w:cs="Arial"/>
          <w:b/>
          <w:bCs/>
          <w:sz w:val="32"/>
          <w:szCs w:val="32"/>
        </w:rPr>
      </w:pPr>
    </w:p>
    <w:p w14:paraId="371D2567">
      <w:pPr>
        <w:jc w:val="center"/>
        <w:rPr>
          <w:rFonts w:ascii="Arial" w:hAnsi="Arial" w:cs="Arial"/>
          <w:b/>
          <w:bCs/>
          <w:sz w:val="32"/>
          <w:szCs w:val="32"/>
        </w:rPr>
      </w:pPr>
    </w:p>
    <w:p w14:paraId="1F0EC227">
      <w:pPr>
        <w:jc w:val="center"/>
        <w:rPr>
          <w:rFonts w:ascii="Arial" w:hAnsi="Arial" w:cs="Arial"/>
          <w:b/>
          <w:bCs/>
          <w:sz w:val="32"/>
          <w:szCs w:val="32"/>
        </w:rPr>
      </w:pPr>
    </w:p>
    <w:p w14:paraId="1434206C">
      <w:pPr>
        <w:jc w:val="center"/>
        <w:rPr>
          <w:rFonts w:ascii="Arial" w:hAnsi="Arial" w:cs="Arial"/>
          <w:b/>
          <w:bCs/>
          <w:sz w:val="32"/>
          <w:szCs w:val="32"/>
        </w:rPr>
      </w:pPr>
    </w:p>
    <w:p w14:paraId="13398782">
      <w:pPr>
        <w:jc w:val="center"/>
        <w:rPr>
          <w:rFonts w:ascii="Arial" w:hAnsi="Arial" w:cs="Arial"/>
          <w:b/>
          <w:bCs/>
          <w:sz w:val="32"/>
          <w:szCs w:val="32"/>
        </w:rPr>
      </w:pPr>
    </w:p>
    <w:p w14:paraId="25D19ECD">
      <w:pPr>
        <w:jc w:val="both"/>
        <w:rPr>
          <w:rFonts w:ascii="Arial" w:hAnsi="Arial" w:cs="Arial"/>
          <w:b/>
          <w:bCs/>
          <w:sz w:val="32"/>
          <w:szCs w:val="32"/>
        </w:rPr>
      </w:pPr>
    </w:p>
    <w:p w14:paraId="61855CB9">
      <w:pPr>
        <w:jc w:val="both"/>
        <w:rPr>
          <w:rFonts w:ascii="Arial" w:hAnsi="Arial" w:cs="Arial"/>
          <w:b/>
          <w:bCs/>
          <w:sz w:val="32"/>
          <w:szCs w:val="32"/>
        </w:rPr>
      </w:pPr>
    </w:p>
    <w:p w14:paraId="426A6C0D">
      <w:pPr>
        <w:jc w:val="both"/>
        <w:rPr>
          <w:rFonts w:ascii="Arial" w:hAnsi="Arial" w:cs="Arial"/>
          <w:b/>
          <w:bCs/>
          <w:sz w:val="32"/>
          <w:szCs w:val="32"/>
        </w:rPr>
      </w:pPr>
    </w:p>
    <w:p w14:paraId="27780C99">
      <w:pPr>
        <w:jc w:val="both"/>
        <w:rPr>
          <w:rFonts w:ascii="Arial" w:hAnsi="Arial" w:cs="Arial"/>
          <w:b/>
          <w:bCs/>
          <w:sz w:val="32"/>
          <w:szCs w:val="32"/>
        </w:rPr>
      </w:pPr>
    </w:p>
    <w:p w14:paraId="5BFDD664">
      <w:pPr>
        <w:jc w:val="both"/>
        <w:rPr>
          <w:rFonts w:ascii="Arial" w:hAnsi="Arial" w:cs="Arial"/>
          <w:b/>
          <w:bCs/>
          <w:sz w:val="32"/>
          <w:szCs w:val="32"/>
        </w:rPr>
      </w:pPr>
    </w:p>
    <w:p w14:paraId="1889D0D1">
      <w:pPr>
        <w:jc w:val="center"/>
        <w:rPr>
          <w:rFonts w:ascii="Arial" w:hAnsi="Arial" w:cs="Arial"/>
          <w:b/>
          <w:bCs/>
          <w:sz w:val="32"/>
          <w:szCs w:val="32"/>
        </w:rPr>
      </w:pPr>
      <w:r>
        <w:rPr>
          <w:rFonts w:ascii="Arial" w:hAnsi="Arial" w:cs="Arial"/>
          <w:b/>
          <w:bCs/>
          <w:sz w:val="32"/>
          <w:szCs w:val="32"/>
        </w:rPr>
        <w:t>ANEXO III</w:t>
      </w:r>
    </w:p>
    <w:p w14:paraId="0C2EEF5B">
      <w:pPr>
        <w:jc w:val="center"/>
        <w:rPr>
          <w:rFonts w:hint="default" w:ascii="Arial" w:hAnsi="Arial" w:cs="Arial"/>
          <w:b/>
          <w:bCs/>
          <w:sz w:val="18"/>
          <w:szCs w:val="18"/>
        </w:rPr>
      </w:pPr>
    </w:p>
    <w:p w14:paraId="79C1518C">
      <w:pPr>
        <w:spacing w:line="240" w:lineRule="auto"/>
        <w:jc w:val="center"/>
        <w:rPr>
          <w:rFonts w:hint="default" w:ascii="Arial" w:hAnsi="Arial" w:cs="Arial"/>
          <w:b/>
          <w:bCs/>
          <w:sz w:val="17"/>
          <w:szCs w:val="17"/>
        </w:rPr>
      </w:pPr>
      <w:r>
        <w:rPr>
          <w:rFonts w:hint="default" w:ascii="Arial" w:hAnsi="Arial" w:cs="Arial"/>
          <w:b/>
          <w:bCs/>
          <w:sz w:val="17"/>
          <w:szCs w:val="17"/>
        </w:rPr>
        <w:t>MINUTA DA ATA DE REGISTRO DE PREÇOS</w:t>
      </w:r>
    </w:p>
    <w:p w14:paraId="583AF467">
      <w:pPr>
        <w:spacing w:line="240" w:lineRule="auto"/>
        <w:jc w:val="both"/>
        <w:rPr>
          <w:rFonts w:hint="default" w:ascii="Arial" w:hAnsi="Arial" w:cs="Arial"/>
          <w:b/>
          <w:bCs/>
          <w:sz w:val="17"/>
          <w:szCs w:val="17"/>
        </w:rPr>
      </w:pPr>
    </w:p>
    <w:p w14:paraId="1F32F308">
      <w:pPr>
        <w:widowControl w:val="0"/>
        <w:tabs>
          <w:tab w:val="center" w:pos="4779"/>
          <w:tab w:val="right" w:pos="9198"/>
        </w:tabs>
        <w:autoSpaceDE w:val="0"/>
        <w:autoSpaceDN w:val="0"/>
        <w:adjustRightInd w:val="0"/>
        <w:spacing w:before="120" w:after="120" w:line="240" w:lineRule="auto"/>
        <w:ind w:right="-28"/>
        <w:jc w:val="both"/>
        <w:rPr>
          <w:rFonts w:hint="default" w:ascii="Arial" w:hAnsi="Arial" w:cs="Arial"/>
          <w:sz w:val="17"/>
          <w:szCs w:val="17"/>
        </w:rPr>
      </w:pPr>
      <w:r>
        <w:rPr>
          <w:rFonts w:hint="default" w:ascii="Arial" w:hAnsi="Arial" w:cs="Arial"/>
          <w:b/>
          <w:sz w:val="17"/>
          <w:szCs w:val="17"/>
        </w:rPr>
        <w:t>MUNICIPIO DE CATAGUASES</w:t>
      </w:r>
      <w:r>
        <w:rPr>
          <w:rFonts w:hint="default" w:ascii="Arial" w:hAnsi="Arial" w:cs="Arial"/>
          <w:sz w:val="17"/>
          <w:szCs w:val="17"/>
        </w:rPr>
        <w:t xml:space="preserve">, Estado de Minas Gerais, com sede à Praça Santa Rita, 462 – Centro, Cataguases (MG), CNPJ/MF 17.702.499/0001-81, sendo o Órgão Gerenciador, representada neste ato pelo Exmo. Sr. Prefeito Municipal, José Henriques, tendo como Agentes de Contratação, denominados pregoeiros, designados pela Portaria 625/2023, o Sr. Neimar Garcia de Oliveira e  Sra. Janete Aparecida Garcia e Equipe de Apoio ao Pregão, considerando o julgamento da licitação na modalidade de pregão, na forma eletrônica, para Registro de Preços nº </w:t>
      </w:r>
      <w:r>
        <w:rPr>
          <w:rFonts w:hint="default" w:ascii="Arial" w:hAnsi="Arial" w:cs="Arial"/>
          <w:sz w:val="17"/>
          <w:szCs w:val="17"/>
          <w:lang w:val="pt-BR"/>
        </w:rPr>
        <w:t>034/2025</w:t>
      </w:r>
      <w:r>
        <w:rPr>
          <w:rFonts w:hint="default" w:ascii="Arial" w:hAnsi="Arial" w:cs="Arial"/>
          <w:sz w:val="17"/>
          <w:szCs w:val="17"/>
        </w:rPr>
        <w:t xml:space="preserve">, Processo Administrativo n.º </w:t>
      </w:r>
      <w:r>
        <w:rPr>
          <w:rFonts w:hint="default" w:ascii="Arial" w:hAnsi="Arial" w:cs="Arial"/>
          <w:sz w:val="17"/>
          <w:szCs w:val="17"/>
          <w:lang w:val="pt-BR"/>
        </w:rPr>
        <w:t>065/2025</w:t>
      </w:r>
      <w:r>
        <w:rPr>
          <w:rFonts w:hint="default" w:ascii="Arial" w:hAnsi="Arial" w:cs="Arial"/>
          <w:sz w:val="17"/>
          <w:szCs w:val="17"/>
        </w:rPr>
        <w:t xml:space="preserve">, Pregão Eletrônico n° </w:t>
      </w:r>
      <w:r>
        <w:rPr>
          <w:rFonts w:hint="default" w:ascii="Arial" w:hAnsi="Arial" w:cs="Arial"/>
          <w:sz w:val="17"/>
          <w:szCs w:val="17"/>
          <w:lang w:val="pt-BR"/>
        </w:rPr>
        <w:t>036/2025</w:t>
      </w:r>
      <w:r>
        <w:rPr>
          <w:rFonts w:hint="default" w:ascii="Arial" w:hAnsi="Arial" w:cs="Arial"/>
          <w:sz w:val="17"/>
          <w:szCs w:val="17"/>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Lei Municipal n° 4.946 de 2023, Decreto Municipal n° 5.805 de 2023, Lei 13.709 de 14 de agosto de 2018 (LGPD - Lei Geral de Proteção de Dados) e Lei 12.846 de 1º de agosto de 2013 (Lei Anticorrupção), e em conformidade com as disposições a seguir:</w:t>
      </w:r>
    </w:p>
    <w:p w14:paraId="20323ECA">
      <w:pPr>
        <w:spacing w:line="240" w:lineRule="auto"/>
        <w:jc w:val="both"/>
        <w:rPr>
          <w:rFonts w:hint="default" w:ascii="Arial" w:hAnsi="Arial" w:cs="Arial"/>
          <w:bCs/>
          <w:sz w:val="17"/>
          <w:szCs w:val="17"/>
        </w:rPr>
      </w:pPr>
      <w:r>
        <w:rPr>
          <w:rFonts w:hint="default" w:ascii="Arial" w:hAnsi="Arial" w:cs="Arial"/>
          <w:bCs/>
          <w:sz w:val="17"/>
          <w:szCs w:val="17"/>
        </w:rPr>
        <w:t>Consideram-se registrados os seguintes preços da Detentora da Ata: _____________________, CNPJ nº _______________, representado pelo Sr. ____________ (qualificação):</w:t>
      </w:r>
    </w:p>
    <w:p w14:paraId="5C3BEEEE">
      <w:pPr>
        <w:spacing w:line="240" w:lineRule="auto"/>
        <w:jc w:val="both"/>
        <w:rPr>
          <w:rFonts w:hint="default" w:ascii="Arial" w:hAnsi="Arial" w:cs="Arial"/>
          <w:bCs/>
          <w:sz w:val="17"/>
          <w:szCs w:val="17"/>
        </w:rPr>
      </w:pPr>
    </w:p>
    <w:p w14:paraId="6ED27634">
      <w:pPr>
        <w:spacing w:line="240" w:lineRule="auto"/>
        <w:jc w:val="both"/>
        <w:rPr>
          <w:rFonts w:hint="default" w:ascii="Arial" w:hAnsi="Arial" w:cs="Arial"/>
          <w:b/>
          <w:bCs/>
          <w:sz w:val="17"/>
          <w:szCs w:val="17"/>
        </w:rPr>
      </w:pPr>
      <w:r>
        <w:rPr>
          <w:rFonts w:hint="default" w:ascii="Arial" w:hAnsi="Arial" w:cs="Arial"/>
          <w:b/>
          <w:bCs/>
          <w:sz w:val="17"/>
          <w:szCs w:val="17"/>
        </w:rPr>
        <w:t>CLÁUSULA PRIMEIRA – DO OBJETO:</w:t>
      </w:r>
    </w:p>
    <w:p w14:paraId="1A491D9A">
      <w:pPr>
        <w:pStyle w:val="220"/>
        <w:numPr>
          <w:ilvl w:val="1"/>
          <w:numId w:val="24"/>
        </w:numPr>
        <w:tabs>
          <w:tab w:val="left" w:pos="426"/>
        </w:tabs>
        <w:spacing w:line="240" w:lineRule="auto"/>
        <w:ind w:left="0" w:firstLine="0"/>
        <w:jc w:val="both"/>
        <w:rPr>
          <w:rFonts w:hint="default" w:ascii="Arial" w:hAnsi="Arial" w:cs="Arial"/>
          <w:b w:val="0"/>
          <w:bCs w:val="0"/>
          <w:sz w:val="17"/>
          <w:szCs w:val="17"/>
        </w:rPr>
      </w:pPr>
      <w:r>
        <w:rPr>
          <w:rFonts w:hint="default" w:ascii="Arial" w:hAnsi="Arial" w:cs="Arial"/>
          <w:sz w:val="17"/>
          <w:szCs w:val="17"/>
        </w:rPr>
        <w:t>Registr</w:t>
      </w:r>
      <w:r>
        <w:rPr>
          <w:rFonts w:hint="default" w:ascii="Arial" w:hAnsi="Arial" w:cs="Arial"/>
          <w:b w:val="0"/>
          <w:bCs w:val="0"/>
          <w:sz w:val="17"/>
          <w:szCs w:val="17"/>
        </w:rPr>
        <w:t xml:space="preserve">ar preços </w:t>
      </w:r>
      <w:r>
        <w:rPr>
          <w:rFonts w:hint="default" w:ascii="Arial" w:hAnsi="Arial" w:eastAsia="Tahoma" w:cs="Arial"/>
          <w:b w:val="0"/>
          <w:bCs w:val="0"/>
          <w:sz w:val="17"/>
          <w:szCs w:val="17"/>
        </w:rPr>
        <w:t xml:space="preserve">para </w:t>
      </w:r>
      <w:r>
        <w:rPr>
          <w:rFonts w:hint="default" w:ascii="Arial" w:hAnsi="Arial" w:cs="Arial"/>
          <w:b w:val="0"/>
          <w:bCs w:val="0"/>
          <w:color w:val="000000"/>
          <w:sz w:val="17"/>
          <w:szCs w:val="17"/>
        </w:rPr>
        <w:t xml:space="preserve">para futura e eventual contratação de </w:t>
      </w:r>
      <w:r>
        <w:rPr>
          <w:rFonts w:ascii="Arial" w:hAnsi="Arial" w:cs="Arial"/>
          <w:b w:val="0"/>
          <w:bCs w:val="0"/>
          <w:sz w:val="17"/>
          <w:szCs w:val="17"/>
        </w:rPr>
        <w:t>empresa especializada em fornecimento de medicamentos de A à Z</w:t>
      </w:r>
      <w:r>
        <w:rPr>
          <w:rFonts w:hint="default" w:ascii="Arial" w:hAnsi="Arial" w:cs="Arial"/>
          <w:b w:val="0"/>
          <w:bCs w:val="0"/>
          <w:sz w:val="17"/>
          <w:szCs w:val="17"/>
          <w:lang w:val="pt-BR"/>
        </w:rPr>
        <w:t xml:space="preserve"> r</w:t>
      </w:r>
      <w:r>
        <w:rPr>
          <w:rFonts w:ascii="Arial" w:hAnsi="Arial" w:cs="Arial"/>
          <w:b w:val="0"/>
          <w:bCs w:val="0"/>
          <w:sz w:val="17"/>
          <w:szCs w:val="17"/>
        </w:rPr>
        <w:t>eferência</w:t>
      </w:r>
      <w:r>
        <w:rPr>
          <w:rFonts w:hint="default" w:ascii="Arial" w:hAnsi="Arial" w:cs="Arial"/>
          <w:b w:val="0"/>
          <w:bCs w:val="0"/>
          <w:sz w:val="17"/>
          <w:szCs w:val="17"/>
          <w:lang w:val="pt-BR"/>
        </w:rPr>
        <w:t xml:space="preserve"> (Éticos e Biológicos)</w:t>
      </w:r>
      <w:r>
        <w:rPr>
          <w:rFonts w:ascii="Arial" w:hAnsi="Arial" w:cs="Arial"/>
          <w:b w:val="0"/>
          <w:bCs w:val="0"/>
          <w:sz w:val="17"/>
          <w:szCs w:val="17"/>
        </w:rPr>
        <w:t>, contidos na tabela CMED/ANVISA para atender às demandas da Secretaria Municipal de Saúde de Cataguases</w:t>
      </w:r>
      <w:r>
        <w:rPr>
          <w:rFonts w:hint="default" w:ascii="Arial" w:hAnsi="Arial" w:cs="Arial"/>
          <w:b w:val="0"/>
          <w:bCs w:val="0"/>
          <w:sz w:val="17"/>
          <w:szCs w:val="17"/>
          <w:lang w:val="pt-BR"/>
        </w:rPr>
        <w:t>-</w:t>
      </w:r>
      <w:r>
        <w:rPr>
          <w:rFonts w:ascii="Arial" w:hAnsi="Arial" w:cs="Arial"/>
          <w:b w:val="0"/>
          <w:bCs w:val="0"/>
          <w:sz w:val="17"/>
          <w:szCs w:val="17"/>
        </w:rPr>
        <w:t>MG</w:t>
      </w:r>
      <w:r>
        <w:rPr>
          <w:rFonts w:hint="default" w:ascii="Arial" w:hAnsi="Arial" w:cs="Arial"/>
          <w:b w:val="0"/>
          <w:bCs w:val="0"/>
          <w:sz w:val="17"/>
          <w:szCs w:val="17"/>
        </w:rPr>
        <w:t>, a saber:</w:t>
      </w:r>
    </w:p>
    <w:p w14:paraId="75CDF23C">
      <w:pPr>
        <w:pStyle w:val="220"/>
        <w:numPr>
          <w:numId w:val="0"/>
        </w:numPr>
        <w:tabs>
          <w:tab w:val="left" w:pos="426"/>
        </w:tabs>
        <w:spacing w:line="240" w:lineRule="auto"/>
        <w:ind w:leftChars="0"/>
        <w:jc w:val="both"/>
        <w:rPr>
          <w:rFonts w:hint="default" w:ascii="Arial" w:hAnsi="Arial" w:cs="Arial"/>
          <w:b w:val="0"/>
          <w:bCs w:val="0"/>
          <w:sz w:val="17"/>
          <w:szCs w:val="17"/>
        </w:rPr>
      </w:pPr>
    </w:p>
    <w:tbl>
      <w:tblPr>
        <w:tblStyle w:val="4"/>
        <w:tblW w:w="9633" w:type="dxa"/>
        <w:jc w:val="center"/>
        <w:tblLayout w:type="autofit"/>
        <w:tblCellMar>
          <w:top w:w="0" w:type="dxa"/>
          <w:left w:w="70" w:type="dxa"/>
          <w:bottom w:w="0" w:type="dxa"/>
          <w:right w:w="70" w:type="dxa"/>
        </w:tblCellMar>
      </w:tblPr>
      <w:tblGrid>
        <w:gridCol w:w="890"/>
        <w:gridCol w:w="5624"/>
        <w:gridCol w:w="3119"/>
      </w:tblGrid>
      <w:tr w14:paraId="1020D2D5">
        <w:tblPrEx>
          <w:tblCellMar>
            <w:top w:w="0" w:type="dxa"/>
            <w:left w:w="70" w:type="dxa"/>
            <w:bottom w:w="0" w:type="dxa"/>
            <w:right w:w="70" w:type="dxa"/>
          </w:tblCellMar>
        </w:tblPrEx>
        <w:trPr>
          <w:trHeight w:val="485" w:hRule="atLeast"/>
          <w:jc w:val="center"/>
        </w:trPr>
        <w:tc>
          <w:tcPr>
            <w:tcW w:w="890" w:type="dxa"/>
            <w:tcBorders>
              <w:top w:val="single" w:color="auto" w:sz="8" w:space="0"/>
              <w:left w:val="single" w:color="auto" w:sz="8" w:space="0"/>
              <w:bottom w:val="single" w:color="auto" w:sz="4" w:space="0"/>
              <w:right w:val="single" w:color="auto" w:sz="8" w:space="0"/>
            </w:tcBorders>
            <w:shd w:val="clear" w:color="auto" w:fill="auto"/>
          </w:tcPr>
          <w:p w14:paraId="1226ACBC">
            <w:pPr>
              <w:spacing w:line="240" w:lineRule="auto"/>
              <w:jc w:val="center"/>
              <w:rPr>
                <w:rFonts w:ascii="Arial" w:hAnsi="Arial" w:cs="Arial"/>
                <w:b/>
                <w:bCs/>
                <w:color w:val="000000"/>
                <w:sz w:val="18"/>
                <w:szCs w:val="18"/>
              </w:rPr>
            </w:pPr>
            <w:r>
              <w:rPr>
                <w:rFonts w:ascii="Arial" w:hAnsi="Arial" w:cs="Arial"/>
                <w:b/>
                <w:bCs/>
                <w:color w:val="000000"/>
                <w:sz w:val="18"/>
                <w:szCs w:val="18"/>
              </w:rPr>
              <w:t>ITEM</w:t>
            </w:r>
          </w:p>
        </w:tc>
        <w:tc>
          <w:tcPr>
            <w:tcW w:w="5624" w:type="dxa"/>
            <w:tcBorders>
              <w:top w:val="single" w:color="auto" w:sz="8" w:space="0"/>
              <w:left w:val="nil"/>
              <w:bottom w:val="single" w:color="auto" w:sz="4" w:space="0"/>
              <w:right w:val="single" w:color="auto" w:sz="8" w:space="0"/>
            </w:tcBorders>
            <w:shd w:val="clear" w:color="auto" w:fill="auto"/>
          </w:tcPr>
          <w:p w14:paraId="2F18C6EF">
            <w:pPr>
              <w:spacing w:line="240" w:lineRule="auto"/>
              <w:jc w:val="center"/>
              <w:rPr>
                <w:rFonts w:ascii="Arial" w:hAnsi="Arial" w:cs="Arial"/>
                <w:b/>
                <w:bCs/>
                <w:color w:val="000000"/>
                <w:sz w:val="18"/>
                <w:szCs w:val="18"/>
              </w:rPr>
            </w:pPr>
            <w:r>
              <w:rPr>
                <w:rFonts w:ascii="Arial" w:hAnsi="Arial" w:cs="Arial"/>
                <w:b/>
                <w:bCs/>
                <w:color w:val="000000"/>
                <w:sz w:val="18"/>
                <w:szCs w:val="18"/>
              </w:rPr>
              <w:t>ESPECIFICAÇÃO</w:t>
            </w:r>
          </w:p>
        </w:tc>
        <w:tc>
          <w:tcPr>
            <w:tcW w:w="3119" w:type="dxa"/>
            <w:tcBorders>
              <w:top w:val="single" w:color="auto" w:sz="8" w:space="0"/>
              <w:left w:val="nil"/>
              <w:bottom w:val="single" w:color="auto" w:sz="4" w:space="0"/>
              <w:right w:val="single" w:color="auto" w:sz="8" w:space="0"/>
            </w:tcBorders>
            <w:shd w:val="clear" w:color="auto" w:fill="auto"/>
          </w:tcPr>
          <w:p w14:paraId="0CDD045A">
            <w:pPr>
              <w:spacing w:line="240" w:lineRule="auto"/>
              <w:jc w:val="center"/>
              <w:rPr>
                <w:rFonts w:ascii="Arial" w:hAnsi="Arial" w:cs="Arial"/>
                <w:b/>
                <w:bCs/>
                <w:color w:val="000000"/>
                <w:sz w:val="18"/>
                <w:szCs w:val="18"/>
              </w:rPr>
            </w:pPr>
            <w:r>
              <w:rPr>
                <w:rFonts w:hint="default" w:ascii="Arial" w:hAnsi="Arial" w:cs="Arial"/>
                <w:b/>
                <w:bCs/>
                <w:color w:val="000000"/>
                <w:sz w:val="18"/>
                <w:szCs w:val="18"/>
                <w:lang w:val="pt-BR"/>
              </w:rPr>
              <w:t>Percentual de</w:t>
            </w:r>
            <w:r>
              <w:rPr>
                <w:rFonts w:ascii="Arial" w:hAnsi="Arial" w:cs="Arial"/>
                <w:b/>
                <w:bCs/>
                <w:color w:val="000000"/>
                <w:sz w:val="18"/>
                <w:szCs w:val="18"/>
              </w:rPr>
              <w:t xml:space="preserve"> </w:t>
            </w:r>
            <w:r>
              <w:rPr>
                <w:rFonts w:ascii="Arial" w:hAnsi="Arial" w:cs="Arial"/>
                <w:b/>
                <w:bCs/>
                <w:color w:val="000000"/>
                <w:sz w:val="18"/>
                <w:szCs w:val="18"/>
                <w:lang w:val="pt-BR"/>
              </w:rPr>
              <w:t xml:space="preserve"> desconto</w:t>
            </w:r>
            <w:r>
              <w:rPr>
                <w:rFonts w:hint="default" w:ascii="Arial" w:hAnsi="Arial" w:cs="Arial"/>
                <w:b/>
                <w:bCs/>
                <w:color w:val="000000"/>
                <w:sz w:val="18"/>
                <w:szCs w:val="18"/>
                <w:lang w:val="pt-BR"/>
              </w:rPr>
              <w:t xml:space="preserve">  sobre a Tabela CMED/Anvisa no PMVG (Preço máximo de venda ao governo)</w:t>
            </w:r>
          </w:p>
        </w:tc>
      </w:tr>
      <w:tr w14:paraId="4BC4DE98">
        <w:tblPrEx>
          <w:tblCellMar>
            <w:top w:w="0" w:type="dxa"/>
            <w:left w:w="70" w:type="dxa"/>
            <w:bottom w:w="0" w:type="dxa"/>
            <w:right w:w="70" w:type="dxa"/>
          </w:tblCellMar>
        </w:tblPrEx>
        <w:trPr>
          <w:trHeight w:val="315" w:hRule="atLeast"/>
          <w:jc w:val="center"/>
        </w:trPr>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15C635BD">
            <w:pPr>
              <w:spacing w:line="240" w:lineRule="auto"/>
              <w:jc w:val="center"/>
              <w:rPr>
                <w:rFonts w:ascii="Arial" w:hAnsi="Arial" w:eastAsia="Tahoma" w:cs="Arial"/>
                <w:sz w:val="18"/>
                <w:szCs w:val="18"/>
              </w:rPr>
            </w:pPr>
            <w:r>
              <w:rPr>
                <w:rFonts w:ascii="Arial" w:hAnsi="Arial" w:eastAsia="Tahoma" w:cs="Arial"/>
                <w:sz w:val="18"/>
                <w:szCs w:val="18"/>
              </w:rPr>
              <w:t xml:space="preserve">                                                                                                                              1</w:t>
            </w:r>
          </w:p>
        </w:tc>
        <w:tc>
          <w:tcPr>
            <w:tcW w:w="5624" w:type="dxa"/>
            <w:tcBorders>
              <w:top w:val="single" w:color="auto" w:sz="4" w:space="0"/>
              <w:left w:val="single" w:color="auto" w:sz="4" w:space="0"/>
              <w:bottom w:val="single" w:color="auto" w:sz="4" w:space="0"/>
              <w:right w:val="single" w:color="auto" w:sz="4" w:space="0"/>
            </w:tcBorders>
            <w:shd w:val="clear" w:color="auto" w:fill="auto"/>
            <w:vAlign w:val="top"/>
          </w:tcPr>
          <w:p w14:paraId="3A58FED9">
            <w:pPr>
              <w:pageBreakBefore w:val="0"/>
              <w:widowControl/>
              <w:kinsoku/>
              <w:wordWrap/>
              <w:overflowPunct/>
              <w:topLinePunct w:val="0"/>
              <w:bidi w:val="0"/>
              <w:snapToGrid/>
              <w:spacing w:line="240" w:lineRule="auto"/>
              <w:ind w:left="0" w:leftChars="0" w:firstLine="0" w:firstLineChars="0"/>
              <w:jc w:val="both"/>
              <w:rPr>
                <w:rFonts w:ascii="Arial" w:hAnsi="Arial" w:cs="Arial"/>
                <w:color w:val="000000"/>
                <w:sz w:val="18"/>
                <w:szCs w:val="18"/>
              </w:rPr>
            </w:pPr>
            <w:r>
              <w:rPr>
                <w:rFonts w:hint="default" w:ascii="Arial" w:hAnsi="Arial" w:cs="Arial"/>
                <w:sz w:val="18"/>
                <w:szCs w:val="18"/>
              </w:rPr>
              <w:t>Medicamentos REFERÊNCIA (ÉTICOS e BIOLÓGICOS) de “A à Z”, descritos na Tabela CMED/ANVISA – COLUNA – PMVG – ICMS 18%.</w:t>
            </w:r>
          </w:p>
        </w:tc>
        <w:tc>
          <w:tcPr>
            <w:tcW w:w="3119" w:type="dxa"/>
            <w:tcBorders>
              <w:top w:val="single" w:color="auto" w:sz="4" w:space="0"/>
              <w:left w:val="single" w:color="auto" w:sz="4" w:space="0"/>
              <w:bottom w:val="single" w:color="auto" w:sz="4" w:space="0"/>
              <w:right w:val="single" w:color="auto" w:sz="4" w:space="0"/>
            </w:tcBorders>
            <w:shd w:val="clear" w:color="auto" w:fill="auto"/>
          </w:tcPr>
          <w:p w14:paraId="638CD5DC">
            <w:pPr>
              <w:spacing w:line="240" w:lineRule="auto"/>
              <w:jc w:val="center"/>
              <w:rPr>
                <w:rFonts w:ascii="Arial" w:hAnsi="Arial" w:cs="Arial"/>
                <w:color w:val="000000"/>
                <w:sz w:val="18"/>
                <w:szCs w:val="18"/>
              </w:rPr>
            </w:pPr>
            <w:r>
              <w:rPr>
                <w:rFonts w:ascii="Arial" w:hAnsi="Arial" w:cs="Arial"/>
                <w:color w:val="000000"/>
                <w:sz w:val="18"/>
                <w:szCs w:val="18"/>
              </w:rPr>
              <w:t> </w:t>
            </w:r>
          </w:p>
        </w:tc>
      </w:tr>
    </w:tbl>
    <w:p w14:paraId="31175B50">
      <w:pPr>
        <w:pStyle w:val="220"/>
        <w:spacing w:line="240" w:lineRule="auto"/>
        <w:ind w:left="0"/>
        <w:jc w:val="both"/>
        <w:rPr>
          <w:rFonts w:hint="default" w:ascii="Arial" w:hAnsi="Arial" w:cs="Arial"/>
          <w:sz w:val="17"/>
          <w:szCs w:val="17"/>
        </w:rPr>
      </w:pPr>
    </w:p>
    <w:p w14:paraId="6A650997">
      <w:pPr>
        <w:pStyle w:val="220"/>
        <w:numPr>
          <w:ilvl w:val="1"/>
          <w:numId w:val="24"/>
        </w:numPr>
        <w:spacing w:line="240" w:lineRule="auto"/>
        <w:ind w:left="0" w:firstLine="0"/>
        <w:jc w:val="both"/>
        <w:rPr>
          <w:rFonts w:hint="default" w:ascii="Arial" w:hAnsi="Arial" w:cs="Arial"/>
          <w:sz w:val="17"/>
          <w:szCs w:val="17"/>
        </w:rPr>
      </w:pPr>
      <w:r>
        <w:rPr>
          <w:rFonts w:hint="default" w:ascii="Arial" w:hAnsi="Arial" w:cs="Arial"/>
          <w:sz w:val="17"/>
          <w:szCs w:val="17"/>
        </w:rPr>
        <w:t>Quantitativo mínimo previsto de cada item conforme Art. 28 §2° do Decreto Municipal 5.805/2023:</w:t>
      </w:r>
      <w:r>
        <w:rPr>
          <w:rFonts w:hint="default" w:ascii="Arial" w:hAnsi="Arial" w:cs="Arial"/>
          <w:sz w:val="17"/>
          <w:szCs w:val="17"/>
          <w:lang w:val="pt-BR"/>
        </w:rPr>
        <w:t xml:space="preserve"> 1 Unidade.</w:t>
      </w:r>
    </w:p>
    <w:p w14:paraId="54D61499">
      <w:pPr>
        <w:pStyle w:val="220"/>
        <w:numPr>
          <w:ilvl w:val="0"/>
          <w:numId w:val="0"/>
        </w:numPr>
        <w:spacing w:line="240" w:lineRule="auto"/>
        <w:ind w:leftChars="0"/>
        <w:jc w:val="both"/>
        <w:rPr>
          <w:rFonts w:hint="default" w:ascii="Arial" w:hAnsi="Arial" w:cs="Arial"/>
          <w:sz w:val="17"/>
          <w:szCs w:val="17"/>
        </w:rPr>
      </w:pPr>
    </w:p>
    <w:p w14:paraId="33B53864">
      <w:pPr>
        <w:pageBreakBefore w:val="0"/>
        <w:widowControl/>
        <w:kinsoku/>
        <w:wordWrap/>
        <w:overflowPunct/>
        <w:topLinePunct w:val="0"/>
        <w:autoSpaceDE/>
        <w:autoSpaceDN/>
        <w:bidi w:val="0"/>
        <w:adjustRightInd/>
        <w:snapToGrid/>
        <w:spacing w:line="240" w:lineRule="auto"/>
        <w:jc w:val="both"/>
        <w:textAlignment w:val="auto"/>
        <w:rPr>
          <w:rFonts w:hint="default" w:ascii="Arial" w:hAnsi="Arial" w:cs="Arial"/>
          <w:b/>
          <w:bCs/>
          <w:sz w:val="17"/>
          <w:szCs w:val="17"/>
          <w:lang w:val="pt-BR"/>
        </w:rPr>
      </w:pPr>
      <w:r>
        <w:rPr>
          <w:rFonts w:hint="default" w:ascii="Arial" w:hAnsi="Arial" w:cs="Arial"/>
          <w:b/>
          <w:bCs/>
          <w:sz w:val="17"/>
          <w:szCs w:val="17"/>
        </w:rPr>
        <w:t>CLÁUSULA SEGUNDA – CONDIÇÕES P</w:t>
      </w:r>
      <w:r>
        <w:rPr>
          <w:rFonts w:hint="default" w:ascii="Arial" w:hAnsi="Arial" w:cs="Arial"/>
          <w:b/>
          <w:bCs/>
          <w:sz w:val="17"/>
          <w:szCs w:val="17"/>
          <w:lang w:val="pt-BR"/>
        </w:rPr>
        <w:t>ARA EXECUÇÃO DOS SERVIÇOS</w:t>
      </w:r>
    </w:p>
    <w:p w14:paraId="3461B300">
      <w:pPr>
        <w:pStyle w:val="278"/>
        <w:pageBreakBefore w:val="0"/>
        <w:widowControl/>
        <w:numPr>
          <w:ilvl w:val="0"/>
          <w:numId w:val="0"/>
        </w:numPr>
        <w:kinsoku/>
        <w:wordWrap/>
        <w:overflowPunct/>
        <w:topLinePunct w:val="0"/>
        <w:autoSpaceDE/>
        <w:autoSpaceDN/>
        <w:bidi w:val="0"/>
        <w:adjustRightInd/>
        <w:snapToGrid/>
        <w:spacing w:before="0" w:line="240" w:lineRule="auto"/>
        <w:ind w:left="0" w:leftChars="0" w:firstLine="0" w:firstLineChars="0"/>
        <w:textAlignment w:val="auto"/>
        <w:rPr>
          <w:rFonts w:hint="default" w:ascii="Arial" w:hAnsi="Arial" w:cs="Arial"/>
          <w:b w:val="0"/>
          <w:sz w:val="17"/>
          <w:szCs w:val="17"/>
        </w:rPr>
      </w:pPr>
      <w:r>
        <w:rPr>
          <w:rFonts w:hint="default" w:ascii="Arial" w:hAnsi="Arial" w:cs="Arial"/>
          <w:b w:val="0"/>
          <w:sz w:val="17"/>
          <w:szCs w:val="17"/>
          <w:lang w:val="pt-BR"/>
        </w:rPr>
        <w:t xml:space="preserve">2.1 </w:t>
      </w:r>
      <w:r>
        <w:rPr>
          <w:rFonts w:hint="default" w:ascii="Arial" w:hAnsi="Arial" w:cs="Arial"/>
          <w:b w:val="0"/>
          <w:sz w:val="17"/>
          <w:szCs w:val="17"/>
        </w:rPr>
        <w:t>A a</w:t>
      </w:r>
      <w:r>
        <w:rPr>
          <w:rFonts w:hint="default" w:ascii="Arial" w:hAnsi="Arial" w:cs="Arial"/>
          <w:b w:val="0"/>
          <w:sz w:val="17"/>
          <w:szCs w:val="17"/>
        </w:rPr>
        <w:t xml:space="preserve">quisição de medicamentos de A à Z </w:t>
      </w:r>
      <w:r>
        <w:rPr>
          <w:rFonts w:hint="default" w:ascii="Arial" w:hAnsi="Arial" w:eastAsia="Tahoma" w:cs="Arial"/>
          <w:b w:val="0"/>
          <w:sz w:val="17"/>
          <w:szCs w:val="17"/>
        </w:rPr>
        <w:t>Referência (Éticos e Biológicos),</w:t>
      </w:r>
      <w:r>
        <w:rPr>
          <w:rFonts w:hint="default" w:ascii="Arial" w:hAnsi="Arial" w:cs="Arial"/>
          <w:b w:val="0"/>
          <w:sz w:val="17"/>
          <w:szCs w:val="17"/>
        </w:rPr>
        <w:t xml:space="preserve"> deve atender aos seguintes requisitos:</w:t>
      </w:r>
    </w:p>
    <w:p w14:paraId="1068D71C">
      <w:pPr>
        <w:pStyle w:val="278"/>
        <w:numPr>
          <w:ilvl w:val="0"/>
          <w:numId w:val="0"/>
        </w:numPr>
        <w:spacing w:before="0" w:line="240" w:lineRule="auto"/>
        <w:ind w:left="0" w:leftChars="0" w:firstLine="0" w:firstLineChars="0"/>
        <w:rPr>
          <w:rFonts w:hint="default" w:ascii="Arial" w:hAnsi="Arial" w:cs="Arial"/>
          <w:b w:val="0"/>
          <w:bCs w:val="0"/>
          <w:sz w:val="17"/>
          <w:szCs w:val="17"/>
        </w:rPr>
      </w:pPr>
      <w:r>
        <w:rPr>
          <w:rFonts w:hint="default" w:ascii="Arial" w:hAnsi="Arial" w:cs="Arial"/>
          <w:b w:val="0"/>
          <w:bCs w:val="0"/>
          <w:sz w:val="17"/>
          <w:szCs w:val="17"/>
        </w:rPr>
        <w:t>a) Conformidade com a Legislação: Os medicamentos devem estar registrados na Agência Nacional de Vigilância Sanitária (Anvisa) e atender às normas técnicas e sanitárias vigentes.</w:t>
      </w:r>
    </w:p>
    <w:p w14:paraId="3FD044EB">
      <w:pPr>
        <w:pStyle w:val="278"/>
        <w:numPr>
          <w:ilvl w:val="0"/>
          <w:numId w:val="0"/>
        </w:numPr>
        <w:spacing w:before="0" w:line="240" w:lineRule="auto"/>
        <w:ind w:left="0" w:leftChars="0" w:firstLine="0" w:firstLineChars="0"/>
        <w:rPr>
          <w:rFonts w:hint="default" w:ascii="Arial" w:hAnsi="Arial" w:cs="Arial"/>
          <w:b w:val="0"/>
          <w:bCs w:val="0"/>
          <w:sz w:val="17"/>
          <w:szCs w:val="17"/>
        </w:rPr>
      </w:pPr>
      <w:r>
        <w:rPr>
          <w:rFonts w:hint="default" w:ascii="Arial" w:hAnsi="Arial" w:cs="Arial"/>
          <w:b w:val="0"/>
          <w:bCs w:val="0"/>
          <w:sz w:val="17"/>
          <w:szCs w:val="17"/>
        </w:rPr>
        <w:t>b) Qualidade e Segurança: Os medicamentos devem ser provenientes de fabricantes idôneos e com comprovação de qualidade, garantindo a segurança dos pacientes.</w:t>
      </w:r>
    </w:p>
    <w:p w14:paraId="66EA593B">
      <w:pPr>
        <w:pStyle w:val="278"/>
        <w:numPr>
          <w:ilvl w:val="0"/>
          <w:numId w:val="0"/>
        </w:numPr>
        <w:spacing w:before="0" w:line="240" w:lineRule="auto"/>
        <w:ind w:left="0" w:leftChars="0" w:firstLine="0" w:firstLineChars="0"/>
        <w:rPr>
          <w:rFonts w:hint="default" w:ascii="Arial" w:hAnsi="Arial" w:cs="Arial"/>
          <w:b w:val="0"/>
          <w:bCs w:val="0"/>
          <w:sz w:val="17"/>
          <w:szCs w:val="17"/>
        </w:rPr>
      </w:pPr>
      <w:r>
        <w:rPr>
          <w:rFonts w:hint="default" w:ascii="Arial" w:hAnsi="Arial" w:cs="Arial"/>
          <w:b w:val="0"/>
          <w:bCs w:val="0"/>
          <w:sz w:val="17"/>
          <w:szCs w:val="17"/>
        </w:rPr>
        <w:t xml:space="preserve">c) Diversidade de Itens: A contratação deve abranger uma ampla gama de medicamentos, incluindo </w:t>
      </w:r>
      <w:r>
        <w:rPr>
          <w:rFonts w:hint="default" w:ascii="Arial" w:hAnsi="Arial" w:eastAsia="Tahoma" w:cs="Arial"/>
          <w:b w:val="0"/>
          <w:bCs w:val="0"/>
          <w:sz w:val="17"/>
          <w:szCs w:val="17"/>
        </w:rPr>
        <w:t>Referência (Éticos e Biológicos)</w:t>
      </w:r>
      <w:r>
        <w:rPr>
          <w:rFonts w:hint="default" w:ascii="Arial" w:hAnsi="Arial" w:cs="Arial"/>
          <w:b w:val="0"/>
          <w:bCs w:val="0"/>
          <w:sz w:val="17"/>
          <w:szCs w:val="17"/>
        </w:rPr>
        <w:t>, para atender às diversas demandas judiciais.</w:t>
      </w:r>
    </w:p>
    <w:p w14:paraId="5E367E53">
      <w:pPr>
        <w:pStyle w:val="278"/>
        <w:numPr>
          <w:ilvl w:val="0"/>
          <w:numId w:val="0"/>
        </w:numPr>
        <w:spacing w:before="0" w:line="240" w:lineRule="auto"/>
        <w:ind w:left="0" w:leftChars="0" w:firstLine="0" w:firstLineChars="0"/>
        <w:rPr>
          <w:rFonts w:hint="default" w:ascii="Arial" w:hAnsi="Arial" w:cs="Arial"/>
          <w:b w:val="0"/>
          <w:bCs w:val="0"/>
          <w:sz w:val="17"/>
          <w:szCs w:val="17"/>
        </w:rPr>
      </w:pPr>
      <w:r>
        <w:rPr>
          <w:rFonts w:hint="default" w:ascii="Arial" w:hAnsi="Arial" w:cs="Arial"/>
          <w:b w:val="0"/>
          <w:bCs w:val="0"/>
          <w:sz w:val="17"/>
          <w:szCs w:val="17"/>
        </w:rPr>
        <w:t>d) Prazo de Entrega: Os medicamentos devem ser entregues em prazos compatíveis com as necessidades dos pacientes, evitando interrupções no tratamento.</w:t>
      </w:r>
    </w:p>
    <w:p w14:paraId="28BEBA61">
      <w:pPr>
        <w:pStyle w:val="278"/>
        <w:numPr>
          <w:ilvl w:val="0"/>
          <w:numId w:val="0"/>
        </w:numPr>
        <w:spacing w:before="0" w:line="240" w:lineRule="auto"/>
        <w:ind w:left="0" w:leftChars="0" w:firstLine="0" w:firstLineChars="0"/>
        <w:rPr>
          <w:rFonts w:hint="default" w:ascii="Arial" w:hAnsi="Arial" w:cs="Arial"/>
          <w:b w:val="0"/>
          <w:bCs w:val="0"/>
          <w:sz w:val="17"/>
          <w:szCs w:val="17"/>
        </w:rPr>
      </w:pPr>
      <w:r>
        <w:rPr>
          <w:rFonts w:hint="default" w:ascii="Arial" w:hAnsi="Arial" w:cs="Arial"/>
          <w:b w:val="0"/>
          <w:bCs w:val="0"/>
          <w:sz w:val="17"/>
          <w:szCs w:val="17"/>
        </w:rPr>
        <w:t>e) Armazenamento e Distribuição: Os medicamentos devem ser entregues em condições adequadas de armazenamento, conforme as especificações técnicas de cada produto.</w:t>
      </w:r>
    </w:p>
    <w:p w14:paraId="54F07559">
      <w:pPr>
        <w:pStyle w:val="278"/>
        <w:numPr>
          <w:ilvl w:val="0"/>
          <w:numId w:val="0"/>
        </w:numPr>
        <w:spacing w:before="0" w:line="240" w:lineRule="auto"/>
        <w:ind w:left="0" w:leftChars="0" w:firstLine="0" w:firstLineChars="0"/>
        <w:rPr>
          <w:rFonts w:hint="default" w:ascii="Arial" w:hAnsi="Arial" w:cs="Arial"/>
          <w:b w:val="0"/>
          <w:bCs w:val="0"/>
          <w:sz w:val="17"/>
          <w:szCs w:val="17"/>
        </w:rPr>
      </w:pPr>
      <w:r>
        <w:rPr>
          <w:rFonts w:hint="default" w:ascii="Arial" w:hAnsi="Arial" w:cs="Arial"/>
          <w:b w:val="0"/>
          <w:bCs w:val="0"/>
          <w:sz w:val="17"/>
          <w:szCs w:val="17"/>
        </w:rPr>
        <w:t>f) Desconto sobre o Preço Máximo de Venda ao Governo (PMVG): A contratação será realizada com base no maior percentual de desconto por item sobre a tabela CMED/Anvisa no PMVG, garantindo economicidade.</w:t>
      </w:r>
    </w:p>
    <w:p w14:paraId="509B8769">
      <w:pPr>
        <w:pStyle w:val="278"/>
        <w:numPr>
          <w:ilvl w:val="0"/>
          <w:numId w:val="0"/>
        </w:numPr>
        <w:spacing w:before="0" w:line="240" w:lineRule="auto"/>
        <w:ind w:left="0" w:leftChars="0" w:firstLine="0" w:firstLineChars="0"/>
        <w:rPr>
          <w:rFonts w:hint="default" w:ascii="Arial" w:hAnsi="Arial" w:cs="Arial"/>
          <w:b w:val="0"/>
          <w:sz w:val="17"/>
          <w:szCs w:val="17"/>
        </w:rPr>
      </w:pPr>
      <w:r>
        <w:rPr>
          <w:rFonts w:hint="default" w:ascii="Arial" w:hAnsi="Arial" w:cs="Arial"/>
          <w:b w:val="0"/>
          <w:bCs w:val="0"/>
          <w:sz w:val="17"/>
          <w:szCs w:val="17"/>
        </w:rPr>
        <w:t xml:space="preserve">g) Os produtos deverão ter validade de 2 (dois) anos ou no mínimo 80% (oitenta por cento) do prazo de validade constante na data </w:t>
      </w:r>
      <w:r>
        <w:rPr>
          <w:rFonts w:hint="default" w:ascii="Arial" w:hAnsi="Arial" w:cs="Arial"/>
          <w:b w:val="0"/>
          <w:sz w:val="17"/>
          <w:szCs w:val="17"/>
        </w:rPr>
        <w:t>da fabricação, produção ou envase, contados a partir da data de entrega/recebimento do produto no município.</w:t>
      </w:r>
    </w:p>
    <w:p w14:paraId="432431AE">
      <w:pPr>
        <w:tabs>
          <w:tab w:val="left" w:pos="567"/>
        </w:tabs>
        <w:suppressAutoHyphens/>
        <w:spacing w:after="0" w:line="240" w:lineRule="auto"/>
        <w:ind w:left="0" w:leftChars="0" w:firstLine="0" w:firstLineChars="0"/>
        <w:jc w:val="both"/>
        <w:rPr>
          <w:rFonts w:hint="default" w:ascii="Arial" w:hAnsi="Arial" w:eastAsia="Times New Roman" w:cs="Arial"/>
          <w:b w:val="0"/>
          <w:bCs/>
          <w:color w:val="000000"/>
          <w:sz w:val="17"/>
          <w:szCs w:val="17"/>
        </w:rPr>
      </w:pPr>
      <w:r>
        <w:rPr>
          <w:rFonts w:hint="default" w:ascii="Arial" w:hAnsi="Arial" w:cs="Arial"/>
          <w:b w:val="0"/>
          <w:bCs/>
          <w:sz w:val="17"/>
          <w:szCs w:val="17"/>
          <w:lang w:val="pt-BR"/>
        </w:rPr>
        <w:t xml:space="preserve">2.2 </w:t>
      </w:r>
      <w:r>
        <w:rPr>
          <w:rFonts w:hint="default" w:ascii="Arial" w:hAnsi="Arial" w:cs="Arial"/>
          <w:b w:val="0"/>
          <w:bCs/>
          <w:sz w:val="17"/>
          <w:szCs w:val="17"/>
        </w:rPr>
        <w:t>As entregas deverão ocorrer mediante prévio envio da Solicitação de Fornecimento por parte da CONTRATANTE à CONTRATADA onde a mesma deverá respeitar o solicitado e realizar a execução dos serviços.</w:t>
      </w:r>
    </w:p>
    <w:p w14:paraId="76F9C3C8">
      <w:pPr>
        <w:tabs>
          <w:tab w:val="left" w:pos="426"/>
        </w:tabs>
        <w:spacing w:after="0" w:line="240" w:lineRule="auto"/>
        <w:ind w:left="0" w:leftChars="0" w:firstLine="0" w:firstLineChars="0"/>
        <w:jc w:val="both"/>
        <w:rPr>
          <w:rFonts w:hint="default" w:ascii="Arial" w:hAnsi="Arial" w:eastAsia="Times New Roman" w:cs="Arial"/>
          <w:b w:val="0"/>
          <w:bCs/>
          <w:color w:val="000000"/>
          <w:sz w:val="17"/>
          <w:szCs w:val="17"/>
        </w:rPr>
      </w:pPr>
      <w:r>
        <w:rPr>
          <w:rFonts w:hint="default" w:ascii="Arial" w:hAnsi="Arial" w:eastAsia="Times New Roman" w:cs="Arial"/>
          <w:b w:val="0"/>
          <w:bCs/>
          <w:color w:val="000000"/>
          <w:sz w:val="17"/>
          <w:szCs w:val="17"/>
          <w:lang w:val="pt-BR"/>
        </w:rPr>
        <w:t xml:space="preserve">2.3 </w:t>
      </w:r>
      <w:r>
        <w:rPr>
          <w:rFonts w:hint="default" w:ascii="Arial" w:hAnsi="Arial" w:eastAsia="Times New Roman" w:cs="Arial"/>
          <w:b w:val="0"/>
          <w:bCs/>
          <w:color w:val="000000"/>
          <w:sz w:val="17"/>
          <w:szCs w:val="17"/>
        </w:rPr>
        <w:t>O(s) itens(s) será(ão) rigorosamente avaliado(s) no ato da entrega nos quesitos qualidade, caso o(s) serviço(s) esteja(m) em desacordo ao que foi licitado, as notas não serão assinadas.</w:t>
      </w:r>
    </w:p>
    <w:p w14:paraId="58EB3478">
      <w:pPr>
        <w:tabs>
          <w:tab w:val="left" w:pos="567"/>
        </w:tabs>
        <w:spacing w:after="0" w:line="240" w:lineRule="auto"/>
        <w:ind w:left="0" w:leftChars="0" w:firstLine="0" w:firstLineChars="0"/>
        <w:jc w:val="both"/>
        <w:rPr>
          <w:rFonts w:hint="default" w:ascii="Arial" w:hAnsi="Arial" w:eastAsia="Times New Roman" w:cs="Arial"/>
          <w:b w:val="0"/>
          <w:bCs/>
          <w:color w:val="000000"/>
          <w:sz w:val="17"/>
          <w:szCs w:val="17"/>
          <w:u w:val="single"/>
        </w:rPr>
      </w:pPr>
      <w:r>
        <w:rPr>
          <w:rFonts w:hint="default" w:ascii="Arial" w:hAnsi="Arial" w:cs="Arial"/>
          <w:b w:val="0"/>
          <w:bCs/>
          <w:color w:val="000000"/>
          <w:sz w:val="17"/>
          <w:szCs w:val="17"/>
          <w:shd w:val="clear" w:color="auto" w:fill="FFFFFF"/>
          <w:lang w:val="pt-BR"/>
        </w:rPr>
        <w:t>2.4</w:t>
      </w:r>
      <w:r>
        <w:rPr>
          <w:rFonts w:hint="default" w:ascii="Arial" w:hAnsi="Arial" w:cs="Arial"/>
          <w:b w:val="0"/>
          <w:bCs/>
          <w:color w:val="000000"/>
          <w:sz w:val="17"/>
          <w:szCs w:val="17"/>
          <w:shd w:val="clear" w:color="auto" w:fill="FFFFFF"/>
        </w:rPr>
        <w:t xml:space="preserve"> </w:t>
      </w:r>
      <w:r>
        <w:rPr>
          <w:rFonts w:hint="default" w:ascii="Arial" w:hAnsi="Arial" w:eastAsia="Times New Roman" w:cs="Arial"/>
          <w:b w:val="0"/>
          <w:bCs/>
          <w:color w:val="000000"/>
          <w:sz w:val="17"/>
          <w:szCs w:val="17"/>
        </w:rPr>
        <w:t>As notas fiscais deverão ser assinadas pelo funcionário responsável pelo recebimento.</w:t>
      </w:r>
    </w:p>
    <w:p w14:paraId="03D175B5">
      <w:pPr>
        <w:spacing w:after="0" w:line="240" w:lineRule="auto"/>
        <w:ind w:left="0" w:leftChars="0" w:firstLine="0" w:firstLineChars="0"/>
        <w:jc w:val="both"/>
        <w:rPr>
          <w:rFonts w:hint="default" w:ascii="Arial" w:hAnsi="Arial" w:eastAsia="Times New Roman" w:cs="Arial"/>
          <w:b w:val="0"/>
          <w:bCs/>
          <w:sz w:val="17"/>
          <w:szCs w:val="17"/>
        </w:rPr>
      </w:pPr>
      <w:r>
        <w:rPr>
          <w:rFonts w:hint="default" w:ascii="Arial" w:hAnsi="Arial" w:eastAsia="Times New Roman" w:cs="Arial"/>
          <w:b w:val="0"/>
          <w:bCs/>
          <w:sz w:val="17"/>
          <w:szCs w:val="17"/>
          <w:lang w:val="pt-BR"/>
        </w:rPr>
        <w:t xml:space="preserve">2.5 </w:t>
      </w:r>
      <w:r>
        <w:rPr>
          <w:rFonts w:hint="default" w:ascii="Arial" w:hAnsi="Arial" w:eastAsia="Times New Roman" w:cs="Arial"/>
          <w:b w:val="0"/>
          <w:bCs/>
          <w:sz w:val="17"/>
          <w:szCs w:val="17"/>
        </w:rPr>
        <w:t>O material deverá ser entregue adequadamente, de forma a permitir completa segurança durante o transporte.</w:t>
      </w:r>
    </w:p>
    <w:p w14:paraId="33B8AD32">
      <w:pPr>
        <w:spacing w:after="0" w:line="240" w:lineRule="auto"/>
        <w:ind w:left="0" w:leftChars="0" w:firstLine="0" w:firstLineChars="0"/>
        <w:jc w:val="both"/>
        <w:rPr>
          <w:rFonts w:hint="default" w:ascii="Arial" w:hAnsi="Arial" w:eastAsia="Times New Roman" w:cs="Arial"/>
          <w:b w:val="0"/>
          <w:bCs/>
          <w:color w:val="000000"/>
          <w:sz w:val="17"/>
          <w:szCs w:val="17"/>
        </w:rPr>
      </w:pPr>
      <w:r>
        <w:rPr>
          <w:rFonts w:hint="default" w:ascii="Arial" w:hAnsi="Arial" w:eastAsia="Times New Roman" w:cs="Arial"/>
          <w:b w:val="0"/>
          <w:bCs/>
          <w:color w:val="000000"/>
          <w:sz w:val="17"/>
          <w:szCs w:val="17"/>
          <w:lang w:val="pt-BR"/>
        </w:rPr>
        <w:t xml:space="preserve">2.6 </w:t>
      </w:r>
      <w:r>
        <w:rPr>
          <w:rFonts w:hint="default" w:ascii="Arial" w:hAnsi="Arial" w:eastAsia="Times New Roman" w:cs="Arial"/>
          <w:b w:val="0"/>
          <w:bCs/>
          <w:color w:val="000000"/>
          <w:sz w:val="17"/>
          <w:szCs w:val="17"/>
        </w:rPr>
        <w:t>Os itens poderão ser rejeitados, no todo ou em parte, quando em desacordo com as especificações constantes neste Termo de Referência e na proposta, devendo ser substituídos no prazo de 5 (cinco) dias, a contar da notificação da contratada, às suas custas, sem prejuízo da aplicação das penalidades.</w:t>
      </w:r>
    </w:p>
    <w:p w14:paraId="679BC1AB">
      <w:pPr>
        <w:spacing w:after="0" w:line="240" w:lineRule="auto"/>
        <w:ind w:left="0" w:leftChars="0" w:firstLine="0" w:firstLineChars="0"/>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lang w:val="pt-BR"/>
          <w14:textFill>
            <w14:solidFill>
              <w14:schemeClr w14:val="tx1"/>
            </w14:solidFill>
          </w14:textFill>
        </w:rPr>
        <w:t>2.7</w:t>
      </w:r>
      <w:r>
        <w:rPr>
          <w:rFonts w:hint="default" w:ascii="Arial" w:hAnsi="Arial" w:cs="Arial"/>
          <w:b w:val="0"/>
          <w:bCs/>
          <w:color w:val="000000" w:themeColor="text1"/>
          <w:sz w:val="17"/>
          <w:szCs w:val="17"/>
          <w14:textFill>
            <w14:solidFill>
              <w14:schemeClr w14:val="tx1"/>
            </w14:solidFill>
          </w14:textFill>
        </w:rPr>
        <w:t xml:space="preserve"> Os endereços e locais para entrega poderão sofrer alterações conforme determinação da contratante.</w:t>
      </w:r>
    </w:p>
    <w:p w14:paraId="3A8CCFC7">
      <w:pPr>
        <w:spacing w:after="0" w:line="240" w:lineRule="auto"/>
        <w:ind w:left="0" w:leftChars="0" w:firstLine="0" w:firstLineChars="0"/>
        <w:jc w:val="both"/>
        <w:rPr>
          <w:rFonts w:hint="default" w:ascii="Arial" w:hAnsi="Arial" w:eastAsia="Times New Roman" w:cs="Arial"/>
          <w:b w:val="0"/>
          <w:bCs/>
          <w:sz w:val="17"/>
          <w:szCs w:val="17"/>
        </w:rPr>
      </w:pPr>
      <w:r>
        <w:rPr>
          <w:rFonts w:hint="default" w:ascii="Arial" w:hAnsi="Arial" w:eastAsia="Times New Roman" w:cs="Arial"/>
          <w:b w:val="0"/>
          <w:bCs/>
          <w:sz w:val="17"/>
          <w:szCs w:val="17"/>
          <w:lang w:val="pt-BR"/>
        </w:rPr>
        <w:t>2.8</w:t>
      </w:r>
      <w:r>
        <w:rPr>
          <w:rFonts w:hint="default" w:ascii="Arial" w:hAnsi="Arial" w:eastAsia="Times New Roman" w:cs="Arial"/>
          <w:b w:val="0"/>
          <w:bCs/>
          <w:sz w:val="17"/>
          <w:szCs w:val="17"/>
        </w:rPr>
        <w:t xml:space="preserve"> Os locais de entrega serão informados no ato do envio das Solicitações de Fornecimento (e-mail direcionado ao fornecedor) ou descrito nas mesmas.</w:t>
      </w:r>
    </w:p>
    <w:p w14:paraId="7EA1EADA">
      <w:pPr>
        <w:keepNext w:val="0"/>
        <w:keepLines w:val="0"/>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b w:val="0"/>
          <w:bCs/>
          <w:sz w:val="17"/>
          <w:szCs w:val="17"/>
        </w:rPr>
      </w:pPr>
      <w:r>
        <w:rPr>
          <w:rFonts w:hint="default" w:ascii="Arial" w:hAnsi="Arial" w:eastAsia="Times New Roman" w:cs="Arial"/>
          <w:b w:val="0"/>
          <w:bCs/>
          <w:sz w:val="17"/>
          <w:szCs w:val="17"/>
          <w:lang w:val="pt-BR"/>
        </w:rPr>
        <w:t xml:space="preserve">2.9 </w:t>
      </w:r>
      <w:r>
        <w:rPr>
          <w:rFonts w:hint="default" w:ascii="Arial" w:hAnsi="Arial" w:cs="Arial"/>
          <w:b w:val="0"/>
          <w:bCs/>
          <w:sz w:val="17"/>
          <w:szCs w:val="17"/>
        </w:rPr>
        <w:t>O horário de entrega será das 07:00 às 16:00 horas, exclusivamente em dias úteis.</w:t>
      </w:r>
    </w:p>
    <w:p w14:paraId="28412D05">
      <w:pPr>
        <w:pStyle w:val="305"/>
        <w:keepNext w:val="0"/>
        <w:keepLines w:val="0"/>
        <w:pageBreakBefore w:val="0"/>
        <w:widowControl/>
        <w:numPr>
          <w:ilvl w:val="0"/>
          <w:numId w:val="22"/>
        </w:numPr>
        <w:kinsoku/>
        <w:wordWrap/>
        <w:overflowPunct/>
        <w:topLinePunct w:val="0"/>
        <w:autoSpaceDE/>
        <w:autoSpaceDN/>
        <w:bidi w:val="0"/>
        <w:adjustRightInd/>
        <w:snapToGrid/>
        <w:spacing w:before="0" w:line="240" w:lineRule="auto"/>
        <w:ind w:left="0" w:leftChars="0" w:firstLine="0" w:firstLineChars="0"/>
        <w:textAlignment w:val="auto"/>
        <w:rPr>
          <w:rFonts w:hint="default" w:ascii="Arial" w:hAnsi="Arial" w:cs="Arial"/>
          <w:sz w:val="17"/>
          <w:szCs w:val="17"/>
        </w:rPr>
      </w:pPr>
      <w:r>
        <w:rPr>
          <w:rFonts w:hint="default" w:ascii="Arial" w:hAnsi="Arial" w:cs="Arial"/>
          <w:sz w:val="17"/>
          <w:szCs w:val="17"/>
        </w:rPr>
        <w:t>Rua: José Gustavo Cohen, Nº 70, Bairro - Vila Tereza, Cidade de Cataguases – Minas Gerais, CEP: 36.772-014.</w:t>
      </w:r>
    </w:p>
    <w:p w14:paraId="7A71880F">
      <w:pPr>
        <w:numPr>
          <w:ilvl w:val="0"/>
          <w:numId w:val="0"/>
        </w:numPr>
        <w:tabs>
          <w:tab w:val="left" w:pos="0"/>
          <w:tab w:val="left" w:pos="480"/>
        </w:tabs>
        <w:spacing w:line="240" w:lineRule="auto"/>
        <w:ind w:leftChars="0"/>
        <w:jc w:val="both"/>
        <w:rPr>
          <w:rFonts w:hint="default" w:ascii="Arial" w:hAnsi="Arial" w:cs="Arial"/>
          <w:color w:val="auto"/>
          <w:sz w:val="17"/>
          <w:szCs w:val="17"/>
          <w:lang w:val="pt-BR"/>
        </w:rPr>
      </w:pPr>
    </w:p>
    <w:p w14:paraId="1DA3F1FB">
      <w:pPr>
        <w:spacing w:line="240" w:lineRule="auto"/>
        <w:jc w:val="both"/>
        <w:rPr>
          <w:rFonts w:hint="default" w:ascii="Arial" w:hAnsi="Arial" w:cs="Arial"/>
          <w:b/>
          <w:bCs/>
          <w:sz w:val="17"/>
          <w:szCs w:val="17"/>
        </w:rPr>
      </w:pPr>
      <w:r>
        <w:rPr>
          <w:rFonts w:hint="default" w:ascii="Arial" w:hAnsi="Arial" w:cs="Arial"/>
          <w:b/>
          <w:bCs/>
          <w:sz w:val="17"/>
          <w:szCs w:val="17"/>
        </w:rPr>
        <w:t>CLÁUSULA TERCEIRA - DA VALIDADE, FORMALIZAÇÃO DA ATA DE REGISTRO DE PREÇOS E CADASTRO RESERVA</w:t>
      </w:r>
    </w:p>
    <w:p w14:paraId="542840D6">
      <w:pPr>
        <w:spacing w:line="240" w:lineRule="auto"/>
        <w:jc w:val="both"/>
        <w:rPr>
          <w:rFonts w:hint="default" w:ascii="Arial" w:hAnsi="Arial" w:cs="Arial"/>
          <w:bCs/>
          <w:sz w:val="17"/>
          <w:szCs w:val="17"/>
          <w:lang w:val="pt-BR"/>
        </w:rPr>
      </w:pPr>
      <w:r>
        <w:rPr>
          <w:rFonts w:hint="default" w:ascii="Arial" w:hAnsi="Arial" w:cs="Arial"/>
          <w:b/>
          <w:bCs/>
          <w:sz w:val="17"/>
          <w:szCs w:val="17"/>
        </w:rPr>
        <w:t>3.1</w:t>
      </w:r>
      <w:r>
        <w:rPr>
          <w:rFonts w:hint="default" w:ascii="Arial" w:hAnsi="Arial" w:cs="Arial"/>
          <w:bCs/>
          <w:sz w:val="17"/>
          <w:szCs w:val="17"/>
        </w:rPr>
        <w:t xml:space="preserve">. A presente Ata de Registro de Preços terá a validade de </w:t>
      </w:r>
      <w:r>
        <w:rPr>
          <w:rFonts w:hint="default" w:ascii="Arial" w:hAnsi="Arial" w:cs="Arial"/>
          <w:b/>
          <w:bCs/>
          <w:sz w:val="17"/>
          <w:szCs w:val="17"/>
        </w:rPr>
        <w:t>12 (doze) meses</w:t>
      </w:r>
      <w:r>
        <w:rPr>
          <w:rFonts w:hint="default" w:ascii="Arial" w:hAnsi="Arial" w:cs="Arial"/>
          <w:bCs/>
          <w:sz w:val="17"/>
          <w:szCs w:val="17"/>
        </w:rPr>
        <w:t>, a partir d</w:t>
      </w:r>
      <w:r>
        <w:rPr>
          <w:rFonts w:hint="default" w:ascii="Arial" w:hAnsi="Arial" w:cs="Arial"/>
          <w:bCs/>
          <w:sz w:val="17"/>
          <w:szCs w:val="17"/>
          <w:lang w:val="pt-BR"/>
        </w:rPr>
        <w:t>e _____________ e término em __________________ podendo ser prorrogado conforme Lei Federal 14.133/2021.</w:t>
      </w:r>
    </w:p>
    <w:p w14:paraId="698F0C28">
      <w:pPr>
        <w:spacing w:line="240" w:lineRule="auto"/>
        <w:jc w:val="both"/>
        <w:rPr>
          <w:rFonts w:hint="default" w:ascii="Arial" w:hAnsi="Arial" w:cs="Arial"/>
          <w:bCs/>
          <w:sz w:val="17"/>
          <w:szCs w:val="17"/>
        </w:rPr>
      </w:pPr>
      <w:r>
        <w:rPr>
          <w:rFonts w:hint="default" w:ascii="Arial" w:hAnsi="Arial" w:cs="Arial"/>
          <w:b/>
          <w:bCs/>
          <w:sz w:val="17"/>
          <w:szCs w:val="17"/>
        </w:rPr>
        <w:t>3.2</w:t>
      </w:r>
      <w:r>
        <w:rPr>
          <w:rFonts w:hint="default" w:ascii="Arial" w:hAnsi="Arial" w:cs="Arial"/>
          <w:bCs/>
          <w:sz w:val="17"/>
          <w:szCs w:val="17"/>
        </w:rPr>
        <w:t>. Durante o prazo de validade desta Ata de Registro de Preços, o Município de Cataguases não será obrigado a adquirir o serviço referido na Cláusula Primeira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w:t>
      </w:r>
    </w:p>
    <w:p w14:paraId="2F200729">
      <w:pPr>
        <w:spacing w:line="240" w:lineRule="auto"/>
        <w:jc w:val="both"/>
        <w:rPr>
          <w:rFonts w:hint="default" w:ascii="Arial" w:hAnsi="Arial" w:cs="Arial"/>
          <w:b/>
          <w:bCs/>
          <w:sz w:val="17"/>
          <w:szCs w:val="17"/>
        </w:rPr>
      </w:pPr>
    </w:p>
    <w:p w14:paraId="124C79B1">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QUARTA - DA UTILIZAÇÃO DA ATA DE REGISTRO DE PREÇOS </w:t>
      </w:r>
    </w:p>
    <w:p w14:paraId="5F637550">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7CE6D753">
      <w:pPr>
        <w:pStyle w:val="310"/>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4.1.1 apresentação de justificativa da vantagem da adesão, inclusive em situações de provável desabastecimento ou descontinuidade de serviço público;</w:t>
      </w:r>
    </w:p>
    <w:p w14:paraId="41B75744">
      <w:pPr>
        <w:pStyle w:val="310"/>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4.1.2 demonstração de que os valores registrados estão compatíveis com os valores praticados pelo mercado na forma do art. 23 da Lei nº 14.133, de 2021; e</w:t>
      </w:r>
    </w:p>
    <w:p w14:paraId="774E02CC">
      <w:pPr>
        <w:pStyle w:val="310"/>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4.1.3 consulta e aceitação prévias do órgão ou da entidade gerenciadora e do fornecedor.</w:t>
      </w:r>
    </w:p>
    <w:p w14:paraId="123E8380">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4.2 A autorização do órgão ou entidade gerenciadora apenas será realizada após a aceitação da adesão pelo fornecedor.</w:t>
      </w:r>
    </w:p>
    <w:p w14:paraId="5BA56D5D">
      <w:pPr>
        <w:pStyle w:val="310"/>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4.3 O órgão ou entidade gerenciadora poderá rejeitar adesões caso elas possam acarretar prejuízo à execução de seus próprios contratos ou à sua capacidade de gerenciamento.</w:t>
      </w:r>
    </w:p>
    <w:p w14:paraId="146EBCA6">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4.4 Após a autorização do órgão ou da entidade gerenciadora, o órgão ou entidade não participante deverá efetivar a aquisição ou a contratação solicitada em até noventa dias, observado o prazo de vigência da ata.</w:t>
      </w:r>
    </w:p>
    <w:p w14:paraId="19458769">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4.5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323A1F4E">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4.6 O órgão ou a entidade poderá aderir a item da ata de registro de preços da qual seja integrante, na qualidade de não participante, para aqueles itens para os quais não tenha quantitativo registrado, observados os requisitos do item 4.1.</w:t>
      </w:r>
    </w:p>
    <w:p w14:paraId="244C32F2">
      <w:pPr>
        <w:pStyle w:val="322"/>
        <w:spacing w:before="0" w:after="0" w:line="240" w:lineRule="auto"/>
        <w:rPr>
          <w:rFonts w:hint="default" w:ascii="Arial" w:hAnsi="Arial" w:cs="Arial"/>
          <w:b w:val="0"/>
          <w:bCs w:val="0"/>
          <w:iCs w:val="0"/>
          <w:sz w:val="17"/>
          <w:szCs w:val="17"/>
        </w:rPr>
      </w:pPr>
      <w:r>
        <w:rPr>
          <w:rFonts w:hint="default" w:ascii="Arial" w:hAnsi="Arial" w:cs="Arial"/>
          <w:b w:val="0"/>
          <w:bCs w:val="0"/>
          <w:iCs w:val="0"/>
          <w:sz w:val="17"/>
          <w:szCs w:val="17"/>
        </w:rPr>
        <w:t>4.7 Dos limites para as adesões</w:t>
      </w:r>
    </w:p>
    <w:p w14:paraId="2D1A7A42">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4.7.1 As aquisições ou contratações adicionais não poderão exceder, por órgão ou entidade, a cinquenta por cento dos quantitativos dos itens do instrumento convocatório registrados na ata de registro de preços para o gerenciador e para os participantes.</w:t>
      </w:r>
    </w:p>
    <w:p w14:paraId="5BC2CB06">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CC0C548">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4.7.3 Para aquisição emergencial de medicamentos e material de consumo médico-hospitalar por órgãos e en</w:t>
      </w:r>
      <w:r>
        <w:rPr>
          <w:rFonts w:hint="default" w:ascii="Arial" w:hAnsi="Arial" w:eastAsia="Arial" w:cs="Arial"/>
          <w:b w:val="0"/>
          <w:bCs w:val="0"/>
          <w:i w:val="0"/>
          <w:iCs w:val="0"/>
          <w:color w:val="auto"/>
          <w:sz w:val="17"/>
          <w:szCs w:val="17"/>
        </w:rPr>
        <w:t>ti</w:t>
      </w:r>
      <w:r>
        <w:rPr>
          <w:rFonts w:hint="default" w:ascii="Arial" w:hAnsi="Arial" w:cs="Arial"/>
          <w:b w:val="0"/>
          <w:bCs w:val="0"/>
          <w:i w:val="0"/>
          <w:iCs w:val="0"/>
          <w:color w:val="auto"/>
          <w:sz w:val="17"/>
          <w:szCs w:val="17"/>
        </w:rPr>
        <w:t>dades da Administração Pública federal, estadual, distrital e municipal, a adesão à ata de registro de preços gerenciada pelo Ministério da Saúde não estará sujeita ao limite previsto no item 4.7.</w:t>
      </w:r>
    </w:p>
    <w:p w14:paraId="673AC302">
      <w:pPr>
        <w:pStyle w:val="303"/>
        <w:spacing w:before="0" w:after="0" w:line="240" w:lineRule="auto"/>
        <w:rPr>
          <w:rFonts w:hint="default" w:ascii="Arial" w:hAnsi="Arial" w:cs="Arial"/>
          <w:b w:val="0"/>
          <w:bCs w:val="0"/>
          <w:color w:val="auto"/>
          <w:sz w:val="17"/>
          <w:szCs w:val="17"/>
        </w:rPr>
      </w:pPr>
      <w:r>
        <w:rPr>
          <w:rFonts w:hint="default" w:ascii="Arial" w:hAnsi="Arial" w:cs="Arial"/>
          <w:b w:val="0"/>
          <w:bCs w:val="0"/>
          <w:color w:val="auto"/>
          <w:sz w:val="17"/>
          <w:szCs w:val="17"/>
        </w:rPr>
        <w:t>4.7.4 A adesão à ata de registro de preços por órgãos e en</w:t>
      </w:r>
      <w:r>
        <w:rPr>
          <w:rFonts w:hint="default" w:ascii="Arial" w:hAnsi="Arial" w:eastAsia="Arial" w:cs="Arial"/>
          <w:b w:val="0"/>
          <w:bCs w:val="0"/>
          <w:color w:val="auto"/>
          <w:sz w:val="17"/>
          <w:szCs w:val="17"/>
        </w:rPr>
        <w:t>ti</w:t>
      </w:r>
      <w:r>
        <w:rPr>
          <w:rFonts w:hint="default" w:ascii="Arial" w:hAnsi="Arial" w:cs="Arial"/>
          <w:b w:val="0"/>
          <w:bCs w:val="0"/>
          <w:color w:val="auto"/>
          <w:sz w:val="17"/>
          <w:szCs w:val="17"/>
        </w:rPr>
        <w:t>dades da Administração Pública estadual, distrital e municipal poderá ser exigida para fins de transferências voluntárias, não ficando sujeita ao limite de que trata o item 4.7, desde que seja des</w:t>
      </w:r>
      <w:r>
        <w:rPr>
          <w:rFonts w:hint="default" w:ascii="Arial" w:hAnsi="Arial" w:eastAsia="Arial" w:cs="Arial"/>
          <w:b w:val="0"/>
          <w:bCs w:val="0"/>
          <w:color w:val="auto"/>
          <w:sz w:val="17"/>
          <w:szCs w:val="17"/>
        </w:rPr>
        <w:t>tinta</w:t>
      </w:r>
      <w:r>
        <w:rPr>
          <w:rFonts w:hint="default" w:ascii="Arial" w:hAnsi="Arial" w:cs="Arial"/>
          <w:b w:val="0"/>
          <w:bCs w:val="0"/>
          <w:color w:val="auto"/>
          <w:sz w:val="17"/>
          <w:szCs w:val="17"/>
        </w:rPr>
        <w:t>da à execução descentralizada de programa ou projeto federal e comprovada a compatibilidade dos preços registrados com os valores praticados no mercado na forma do art. 23 da Lei nº 14.133, de 2021.</w:t>
      </w:r>
    </w:p>
    <w:p w14:paraId="461F91D8">
      <w:pPr>
        <w:pStyle w:val="303"/>
        <w:spacing w:before="0" w:after="0" w:line="240" w:lineRule="auto"/>
        <w:rPr>
          <w:rFonts w:hint="default" w:ascii="Arial" w:hAnsi="Arial" w:cs="Arial"/>
          <w:b w:val="0"/>
          <w:bCs w:val="0"/>
          <w:sz w:val="17"/>
          <w:szCs w:val="17"/>
        </w:rPr>
      </w:pPr>
      <w:r>
        <w:rPr>
          <w:rFonts w:hint="default" w:ascii="Arial" w:hAnsi="Arial" w:cs="Arial"/>
          <w:b w:val="0"/>
          <w:bCs w:val="0"/>
          <w:sz w:val="17"/>
          <w:szCs w:val="17"/>
        </w:rPr>
        <w:t>4.8 Vedação a acréscimo de quantitativos</w:t>
      </w:r>
    </w:p>
    <w:p w14:paraId="787C1C01">
      <w:pPr>
        <w:pStyle w:val="303"/>
        <w:spacing w:before="0" w:after="0" w:line="240" w:lineRule="auto"/>
        <w:rPr>
          <w:rFonts w:hint="default" w:ascii="Arial" w:hAnsi="Arial" w:cs="Arial"/>
          <w:b w:val="0"/>
          <w:bCs w:val="0"/>
          <w:sz w:val="17"/>
          <w:szCs w:val="17"/>
        </w:rPr>
      </w:pPr>
      <w:r>
        <w:rPr>
          <w:rFonts w:hint="default" w:ascii="Arial" w:hAnsi="Arial" w:cs="Arial"/>
          <w:b w:val="0"/>
          <w:bCs w:val="0"/>
          <w:sz w:val="17"/>
          <w:szCs w:val="17"/>
        </w:rPr>
        <w:t>4.8.1 É vedado efetuar acréscimos nos quantitativos fixados na ata de registro de preços.</w:t>
      </w:r>
    </w:p>
    <w:p w14:paraId="18CAC352">
      <w:pPr>
        <w:pStyle w:val="303"/>
        <w:spacing w:before="0" w:after="0" w:line="240" w:lineRule="auto"/>
        <w:rPr>
          <w:rFonts w:hint="default" w:ascii="Arial" w:hAnsi="Arial" w:cs="Arial"/>
          <w:b/>
          <w:bCs/>
          <w:color w:val="auto"/>
          <w:sz w:val="17"/>
          <w:szCs w:val="17"/>
          <w:lang w:val="pt-BR"/>
        </w:rPr>
      </w:pPr>
      <w:r>
        <w:rPr>
          <w:rFonts w:hint="default" w:ascii="Arial" w:hAnsi="Arial" w:cs="Arial"/>
          <w:b w:val="0"/>
          <w:bCs w:val="0"/>
          <w:color w:val="auto"/>
          <w:sz w:val="17"/>
          <w:szCs w:val="17"/>
        </w:rPr>
        <w:t xml:space="preserve">4.9 O valor ofertado pela empresa signatária da presente Ata de Registro de Preços é o especificado no objeto desta Ata </w:t>
      </w:r>
      <w:r>
        <w:rPr>
          <w:rFonts w:hint="default" w:ascii="Arial" w:hAnsi="Arial" w:eastAsia="Calibri" w:cs="Arial"/>
          <w:b w:val="0"/>
          <w:bCs w:val="0"/>
          <w:color w:val="auto"/>
          <w:sz w:val="17"/>
          <w:szCs w:val="17"/>
          <w:lang w:eastAsia="en-US"/>
        </w:rPr>
        <w:t xml:space="preserve">sobre </w:t>
      </w:r>
      <w:r>
        <w:rPr>
          <w:rFonts w:hint="default" w:ascii="Arial" w:hAnsi="Arial" w:eastAsia="Calibri" w:cs="Arial"/>
          <w:color w:val="auto"/>
          <w:sz w:val="17"/>
          <w:szCs w:val="17"/>
          <w:lang w:eastAsia="en-US"/>
        </w:rPr>
        <w:t xml:space="preserve">proposta apresentada no </w:t>
      </w:r>
      <w:r>
        <w:rPr>
          <w:rFonts w:hint="default" w:ascii="Arial" w:hAnsi="Arial" w:cs="Arial"/>
          <w:b/>
          <w:bCs/>
          <w:color w:val="auto"/>
          <w:sz w:val="17"/>
          <w:szCs w:val="17"/>
        </w:rPr>
        <w:t>PREGÃO ELETRÔNICO PARA REGISTRO DE PREÇOS nº.</w:t>
      </w:r>
      <w:r>
        <w:rPr>
          <w:rFonts w:hint="default" w:ascii="Arial" w:hAnsi="Arial" w:cs="Arial"/>
          <w:b/>
          <w:bCs/>
          <w:color w:val="auto"/>
          <w:sz w:val="17"/>
          <w:szCs w:val="17"/>
          <w:lang w:val="pt-BR"/>
        </w:rPr>
        <w:t xml:space="preserve"> </w:t>
      </w:r>
      <w:r>
        <w:rPr>
          <w:rFonts w:hint="default" w:cs="Arial"/>
          <w:b/>
          <w:bCs/>
          <w:color w:val="auto"/>
          <w:sz w:val="17"/>
          <w:szCs w:val="17"/>
          <w:lang w:val="pt-BR"/>
        </w:rPr>
        <w:t>036/2025</w:t>
      </w:r>
    </w:p>
    <w:p w14:paraId="23AAD81F">
      <w:pPr>
        <w:spacing w:line="240" w:lineRule="auto"/>
        <w:jc w:val="both"/>
        <w:rPr>
          <w:rFonts w:hint="default" w:ascii="Arial" w:hAnsi="Arial" w:cs="Arial"/>
          <w:b/>
          <w:bCs/>
          <w:sz w:val="17"/>
          <w:szCs w:val="17"/>
        </w:rPr>
      </w:pPr>
    </w:p>
    <w:p w14:paraId="2B7945C2">
      <w:pPr>
        <w:spacing w:line="240" w:lineRule="auto"/>
        <w:jc w:val="both"/>
        <w:rPr>
          <w:rFonts w:hint="default" w:ascii="Arial" w:hAnsi="Arial" w:cs="Arial"/>
          <w:b/>
          <w:sz w:val="17"/>
          <w:szCs w:val="17"/>
        </w:rPr>
      </w:pPr>
      <w:r>
        <w:rPr>
          <w:rFonts w:hint="default" w:ascii="Arial" w:hAnsi="Arial" w:cs="Arial"/>
          <w:b/>
          <w:bCs/>
          <w:sz w:val="17"/>
          <w:szCs w:val="17"/>
        </w:rPr>
        <w:t xml:space="preserve">CLÁUSULA QUINTA – </w:t>
      </w:r>
      <w:r>
        <w:rPr>
          <w:rFonts w:hint="default" w:ascii="Arial" w:hAnsi="Arial" w:cs="Arial"/>
          <w:b/>
          <w:sz w:val="17"/>
          <w:szCs w:val="17"/>
        </w:rPr>
        <w:t>OBRIGAÇÕES DAS PARTES</w:t>
      </w:r>
    </w:p>
    <w:p w14:paraId="7C8CBB50">
      <w:pPr>
        <w:pStyle w:val="220"/>
        <w:numPr>
          <w:ilvl w:val="2"/>
          <w:numId w:val="25"/>
        </w:numPr>
        <w:tabs>
          <w:tab w:val="left" w:pos="0"/>
          <w:tab w:val="left" w:pos="426"/>
        </w:tabs>
        <w:spacing w:line="240" w:lineRule="auto"/>
        <w:ind w:left="0" w:firstLine="0"/>
        <w:contextualSpacing w:val="0"/>
        <w:jc w:val="both"/>
        <w:rPr>
          <w:rFonts w:hint="default" w:ascii="Arial" w:hAnsi="Arial" w:cs="Arial"/>
          <w:b/>
          <w:bCs/>
          <w:sz w:val="17"/>
          <w:szCs w:val="17"/>
        </w:rPr>
      </w:pPr>
      <w:r>
        <w:rPr>
          <w:rFonts w:hint="default" w:ascii="Arial" w:hAnsi="Arial" w:cs="Arial"/>
          <w:b/>
          <w:bCs/>
          <w:sz w:val="17"/>
          <w:szCs w:val="17"/>
        </w:rPr>
        <w:t>Da Contratada:</w:t>
      </w:r>
    </w:p>
    <w:p w14:paraId="4D2C983A">
      <w:pPr>
        <w:keepNext w:val="0"/>
        <w:keepLines w:val="0"/>
        <w:pageBreakBefore w:val="0"/>
        <w:widowControl/>
        <w:numPr>
          <w:ilvl w:val="0"/>
          <w:numId w:val="26"/>
        </w:numPr>
        <w:tabs>
          <w:tab w:val="left" w:pos="480"/>
          <w:tab w:val="clear" w:pos="425"/>
        </w:tabs>
        <w:kinsoku/>
        <w:wordWrap/>
        <w:overflowPunct/>
        <w:topLinePunct w:val="0"/>
        <w:autoSpaceDE/>
        <w:autoSpaceDN/>
        <w:bidi w:val="0"/>
        <w:adjustRightInd/>
        <w:snapToGrid/>
        <w:spacing w:after="0" w:line="240" w:lineRule="auto"/>
        <w:ind w:left="0" w:leftChars="0" w:firstLine="0" w:firstLineChars="0"/>
        <w:jc w:val="both"/>
        <w:textAlignment w:val="auto"/>
        <w:rPr>
          <w:rFonts w:ascii="Arial" w:hAnsi="Arial" w:cs="Arial"/>
          <w:sz w:val="17"/>
          <w:szCs w:val="17"/>
        </w:rPr>
      </w:pPr>
      <w:r>
        <w:rPr>
          <w:rFonts w:ascii="Arial" w:hAnsi="Arial" w:cs="Arial"/>
          <w:sz w:val="17"/>
          <w:szCs w:val="17"/>
        </w:rPr>
        <w:t xml:space="preserve">A CONTRATADA deverá entregar, no local indicado, os produtos adquiridos, no prazo de 15 (quinze) dias corridos contados a partir da data de recebimento da Solicitação de Fornecimento, </w:t>
      </w:r>
      <w:r>
        <w:rPr>
          <w:rFonts w:ascii="Arial" w:hAnsi="Arial" w:eastAsia="Times New Roman" w:cs="Arial"/>
          <w:sz w:val="17"/>
          <w:szCs w:val="17"/>
        </w:rPr>
        <w:t xml:space="preserve">devendo ser entregues no endereço informado pelo setor requisitante. </w:t>
      </w:r>
    </w:p>
    <w:p w14:paraId="4B0F9E54">
      <w:pPr>
        <w:pStyle w:val="306"/>
        <w:keepNext w:val="0"/>
        <w:keepLines w:val="0"/>
        <w:pageBreakBefore w:val="0"/>
        <w:widowControl/>
        <w:numPr>
          <w:ilvl w:val="0"/>
          <w:numId w:val="26"/>
        </w:numPr>
        <w:tabs>
          <w:tab w:val="left" w:pos="480"/>
          <w:tab w:val="clear" w:pos="425"/>
        </w:tabs>
        <w:kinsoku/>
        <w:wordWrap/>
        <w:overflowPunct/>
        <w:topLinePunct w:val="0"/>
        <w:autoSpaceDE/>
        <w:autoSpaceDN/>
        <w:bidi w:val="0"/>
        <w:adjustRightInd/>
        <w:snapToGrid/>
        <w:spacing w:before="0" w:after="0" w:line="240" w:lineRule="auto"/>
        <w:ind w:left="0" w:leftChars="0" w:firstLine="0" w:firstLineChars="0"/>
        <w:textAlignment w:val="auto"/>
        <w:rPr>
          <w:sz w:val="17"/>
          <w:szCs w:val="17"/>
        </w:rPr>
      </w:pPr>
      <w:r>
        <w:rPr>
          <w:sz w:val="17"/>
          <w:szCs w:val="17"/>
        </w:rPr>
        <w:t>A CONTRATADA deverá fornecer o objeto segundo a descrição do produto licitado, nas quantidades descriminadas na Solicitação de Fornecimento enviada previamente.</w:t>
      </w:r>
    </w:p>
    <w:p w14:paraId="12EE4EAD">
      <w:pPr>
        <w:keepNext w:val="0"/>
        <w:keepLines w:val="0"/>
        <w:pageBreakBefore w:val="0"/>
        <w:widowControl/>
        <w:numPr>
          <w:ilvl w:val="0"/>
          <w:numId w:val="26"/>
        </w:numPr>
        <w:tabs>
          <w:tab w:val="left" w:pos="480"/>
          <w:tab w:val="clear" w:pos="425"/>
        </w:tabs>
        <w:kinsoku/>
        <w:wordWrap/>
        <w:overflowPunct/>
        <w:topLinePunct w:val="0"/>
        <w:autoSpaceDE/>
        <w:autoSpaceDN/>
        <w:bidi w:val="0"/>
        <w:adjustRightInd/>
        <w:snapToGrid/>
        <w:spacing w:after="0" w:line="240" w:lineRule="auto"/>
        <w:ind w:left="0" w:leftChars="0" w:firstLine="0" w:firstLineChars="0"/>
        <w:jc w:val="both"/>
        <w:textAlignment w:val="auto"/>
        <w:rPr>
          <w:rFonts w:ascii="Arial" w:hAnsi="Arial" w:cs="Arial"/>
          <w:sz w:val="17"/>
          <w:szCs w:val="17"/>
        </w:rPr>
      </w:pPr>
      <w:r>
        <w:rPr>
          <w:rFonts w:ascii="Arial" w:hAnsi="Arial" w:cs="Arial"/>
          <w:sz w:val="17"/>
          <w:szCs w:val="17"/>
        </w:rPr>
        <w:t xml:space="preserve">A emissão do recebimento definitivo não eximirá o fornecedor de suas responsabilidades, nem invalidará ou comprometerá qualquer reclamação que o órgão contratante venha a fazer, baseada na existência de produto inadequado ou defeituoso. </w:t>
      </w:r>
    </w:p>
    <w:p w14:paraId="38FAD58B">
      <w:pPr>
        <w:keepNext w:val="0"/>
        <w:keepLines w:val="0"/>
        <w:pageBreakBefore w:val="0"/>
        <w:widowControl/>
        <w:numPr>
          <w:ilvl w:val="0"/>
          <w:numId w:val="26"/>
        </w:numPr>
        <w:tabs>
          <w:tab w:val="left" w:pos="480"/>
          <w:tab w:val="clear" w:pos="425"/>
        </w:tabs>
        <w:kinsoku/>
        <w:wordWrap/>
        <w:overflowPunct/>
        <w:topLinePunct w:val="0"/>
        <w:autoSpaceDE/>
        <w:autoSpaceDN/>
        <w:bidi w:val="0"/>
        <w:adjustRightInd/>
        <w:snapToGrid/>
        <w:spacing w:after="0" w:line="240" w:lineRule="auto"/>
        <w:ind w:left="0" w:leftChars="0" w:firstLine="0" w:firstLineChars="0"/>
        <w:jc w:val="both"/>
        <w:textAlignment w:val="auto"/>
        <w:rPr>
          <w:rFonts w:ascii="Arial" w:hAnsi="Arial" w:cs="Arial"/>
          <w:sz w:val="17"/>
          <w:szCs w:val="17"/>
        </w:rPr>
      </w:pPr>
      <w:r>
        <w:rPr>
          <w:rFonts w:ascii="Arial" w:hAnsi="Arial" w:cs="Arial"/>
          <w:sz w:val="17"/>
          <w:szCs w:val="17"/>
        </w:rPr>
        <w:t xml:space="preserve">A contratada deverá arcar com todos os ônus referentes a transportes e fretes necessários a execução do objeto. </w:t>
      </w:r>
    </w:p>
    <w:p w14:paraId="595D3505">
      <w:pPr>
        <w:keepNext w:val="0"/>
        <w:keepLines w:val="0"/>
        <w:pageBreakBefore w:val="0"/>
        <w:widowControl/>
        <w:numPr>
          <w:ilvl w:val="0"/>
          <w:numId w:val="26"/>
        </w:numPr>
        <w:tabs>
          <w:tab w:val="left" w:pos="480"/>
          <w:tab w:val="clear" w:pos="425"/>
        </w:tabs>
        <w:kinsoku/>
        <w:wordWrap/>
        <w:overflowPunct/>
        <w:topLinePunct w:val="0"/>
        <w:autoSpaceDE/>
        <w:autoSpaceDN/>
        <w:bidi w:val="0"/>
        <w:adjustRightInd/>
        <w:snapToGrid/>
        <w:spacing w:after="0" w:line="240" w:lineRule="auto"/>
        <w:ind w:left="0" w:leftChars="0" w:firstLine="0" w:firstLineChars="0"/>
        <w:jc w:val="both"/>
        <w:textAlignment w:val="auto"/>
        <w:rPr>
          <w:rFonts w:ascii="Arial" w:hAnsi="Arial" w:cs="Arial"/>
          <w:sz w:val="17"/>
          <w:szCs w:val="17"/>
        </w:rPr>
      </w:pPr>
      <w:r>
        <w:rPr>
          <w:rFonts w:ascii="Arial" w:hAnsi="Arial" w:cs="Arial"/>
          <w:sz w:val="17"/>
          <w:szCs w:val="17"/>
        </w:rPr>
        <w:t>A contratada deverá prestar informações e esclarecimentos que venham a ser solicitados pela contratante.</w:t>
      </w:r>
    </w:p>
    <w:p w14:paraId="5D3BEBCB">
      <w:pPr>
        <w:keepNext w:val="0"/>
        <w:keepLines w:val="0"/>
        <w:pageBreakBefore w:val="0"/>
        <w:widowControl/>
        <w:numPr>
          <w:ilvl w:val="0"/>
          <w:numId w:val="26"/>
        </w:numPr>
        <w:tabs>
          <w:tab w:val="left" w:pos="480"/>
          <w:tab w:val="clear" w:pos="425"/>
        </w:tabs>
        <w:kinsoku/>
        <w:wordWrap/>
        <w:overflowPunct/>
        <w:topLinePunct w:val="0"/>
        <w:autoSpaceDE/>
        <w:autoSpaceDN/>
        <w:bidi w:val="0"/>
        <w:adjustRightInd/>
        <w:snapToGrid/>
        <w:spacing w:after="0" w:line="240" w:lineRule="auto"/>
        <w:ind w:left="0" w:leftChars="0" w:firstLine="0" w:firstLineChars="0"/>
        <w:jc w:val="both"/>
        <w:textAlignment w:val="auto"/>
        <w:rPr>
          <w:rFonts w:ascii="Arial" w:hAnsi="Arial" w:eastAsia="Times New Roman" w:cs="Arial"/>
          <w:color w:val="000000"/>
          <w:sz w:val="17"/>
          <w:szCs w:val="17"/>
        </w:rPr>
      </w:pPr>
      <w:r>
        <w:rPr>
          <w:rFonts w:ascii="Arial" w:hAnsi="Arial" w:eastAsia="Times New Roman" w:cs="Arial"/>
          <w:color w:val="000000"/>
          <w:sz w:val="17"/>
          <w:szCs w:val="17"/>
        </w:rPr>
        <w:t>Assumir a responsabilidade pelos encargos fiscais e comerciais resultantes da adjudicação desta licitação;</w:t>
      </w:r>
    </w:p>
    <w:p w14:paraId="42A0F366">
      <w:pPr>
        <w:keepNext w:val="0"/>
        <w:keepLines w:val="0"/>
        <w:pageBreakBefore w:val="0"/>
        <w:widowControl/>
        <w:numPr>
          <w:ilvl w:val="0"/>
          <w:numId w:val="26"/>
        </w:numPr>
        <w:tabs>
          <w:tab w:val="left" w:pos="480"/>
          <w:tab w:val="clear" w:pos="425"/>
        </w:tabs>
        <w:kinsoku/>
        <w:wordWrap/>
        <w:overflowPunct/>
        <w:topLinePunct w:val="0"/>
        <w:autoSpaceDE/>
        <w:autoSpaceDN/>
        <w:bidi w:val="0"/>
        <w:adjustRightInd/>
        <w:snapToGrid/>
        <w:spacing w:after="0" w:line="240" w:lineRule="auto"/>
        <w:ind w:left="0" w:leftChars="0" w:firstLine="0" w:firstLineChars="0"/>
        <w:jc w:val="both"/>
        <w:textAlignment w:val="auto"/>
        <w:rPr>
          <w:rFonts w:ascii="Arial" w:hAnsi="Arial" w:eastAsia="Times New Roman" w:cs="Arial"/>
          <w:color w:val="000000"/>
          <w:sz w:val="17"/>
          <w:szCs w:val="17"/>
        </w:rPr>
      </w:pPr>
      <w:r>
        <w:rPr>
          <w:rFonts w:ascii="Arial" w:hAnsi="Arial" w:eastAsia="Times New Roman" w:cs="Arial"/>
          <w:color w:val="000000"/>
          <w:sz w:val="17"/>
          <w:szCs w:val="17"/>
        </w:rPr>
        <w:t>Submeter-se à fiscalização da contratante, através do setor competente, para verificação da qualidade dos itens, orientando, fiscalizando e intervindo ao seu exclusivo interesse, com a finalidade de garantir o exato cumprimento das condições pactuadas;</w:t>
      </w:r>
    </w:p>
    <w:p w14:paraId="6D0312B1">
      <w:pPr>
        <w:keepNext w:val="0"/>
        <w:keepLines w:val="0"/>
        <w:pageBreakBefore w:val="0"/>
        <w:widowControl/>
        <w:numPr>
          <w:ilvl w:val="0"/>
          <w:numId w:val="26"/>
        </w:numPr>
        <w:tabs>
          <w:tab w:val="left" w:pos="480"/>
          <w:tab w:val="clear" w:pos="425"/>
        </w:tabs>
        <w:kinsoku/>
        <w:wordWrap/>
        <w:overflowPunct/>
        <w:topLinePunct w:val="0"/>
        <w:autoSpaceDE/>
        <w:autoSpaceDN/>
        <w:bidi w:val="0"/>
        <w:adjustRightInd/>
        <w:snapToGrid/>
        <w:spacing w:after="0" w:line="240" w:lineRule="auto"/>
        <w:ind w:left="0" w:leftChars="0" w:firstLine="0" w:firstLineChars="0"/>
        <w:jc w:val="both"/>
        <w:textAlignment w:val="auto"/>
        <w:rPr>
          <w:rFonts w:ascii="Arial" w:hAnsi="Arial" w:eastAsia="Times New Roman" w:cs="Arial"/>
          <w:color w:val="000000"/>
          <w:sz w:val="17"/>
          <w:szCs w:val="17"/>
        </w:rPr>
      </w:pPr>
      <w:r>
        <w:rPr>
          <w:rFonts w:ascii="Arial" w:hAnsi="Arial" w:eastAsia="Times New Roman" w:cs="Arial"/>
          <w:color w:val="000000"/>
          <w:sz w:val="17"/>
          <w:szCs w:val="17"/>
        </w:rPr>
        <w:t>Reparar, corrigir, remover, reconstruir ou substituir, às suas expensas, no todo ou em parte, o objeto deste Contrato, em que se verificarem vícios, defeitos ou incorreções resultantes da entrega.</w:t>
      </w:r>
    </w:p>
    <w:p w14:paraId="5130C6CC">
      <w:pPr>
        <w:keepNext w:val="0"/>
        <w:keepLines w:val="0"/>
        <w:pageBreakBefore w:val="0"/>
        <w:widowControl/>
        <w:numPr>
          <w:ilvl w:val="0"/>
          <w:numId w:val="26"/>
        </w:numPr>
        <w:tabs>
          <w:tab w:val="left" w:pos="480"/>
          <w:tab w:val="clear" w:pos="425"/>
        </w:tabs>
        <w:kinsoku/>
        <w:wordWrap/>
        <w:overflowPunct/>
        <w:topLinePunct w:val="0"/>
        <w:autoSpaceDE/>
        <w:autoSpaceDN/>
        <w:bidi w:val="0"/>
        <w:adjustRightInd/>
        <w:snapToGrid/>
        <w:spacing w:after="0" w:line="240" w:lineRule="auto"/>
        <w:ind w:left="0" w:leftChars="0" w:firstLine="0" w:firstLineChars="0"/>
        <w:jc w:val="both"/>
        <w:textAlignment w:val="auto"/>
        <w:rPr>
          <w:rFonts w:ascii="Arial" w:hAnsi="Arial" w:eastAsia="Times New Roman" w:cs="Arial"/>
          <w:color w:val="000000"/>
          <w:sz w:val="17"/>
          <w:szCs w:val="17"/>
        </w:rPr>
      </w:pPr>
      <w:r>
        <w:rPr>
          <w:rFonts w:ascii="Arial" w:hAnsi="Arial" w:eastAsia="Times New Roman" w:cs="Arial"/>
          <w:color w:val="000000"/>
          <w:sz w:val="17"/>
          <w:szCs w:val="17"/>
        </w:rPr>
        <w:t>Manter, durante toda a vigência deste contrato, em compatibilidade com as obrigações assumidas, todas as condições de habilitação e qualificação exigidas na inexigibilidade, devendo comunicar, imediatamente, qualquer alteração que possa comprometer a manutenção desta contratação, bem como substituir os documentos com prazo de validade expirado, mantendo assim, durante toda a execução do contrato, em compatibilidade com as obrigações assumidas, todas as condições de habilitação e qualificação exigidas.</w:t>
      </w:r>
    </w:p>
    <w:p w14:paraId="0645F859">
      <w:pPr>
        <w:keepNext w:val="0"/>
        <w:keepLines w:val="0"/>
        <w:pageBreakBefore w:val="0"/>
        <w:widowControl/>
        <w:numPr>
          <w:ilvl w:val="0"/>
          <w:numId w:val="26"/>
        </w:numPr>
        <w:tabs>
          <w:tab w:val="left" w:pos="480"/>
          <w:tab w:val="clear" w:pos="425"/>
        </w:tabs>
        <w:kinsoku/>
        <w:wordWrap/>
        <w:overflowPunct/>
        <w:topLinePunct w:val="0"/>
        <w:autoSpaceDE/>
        <w:autoSpaceDN/>
        <w:bidi w:val="0"/>
        <w:adjustRightInd/>
        <w:snapToGrid/>
        <w:spacing w:after="0" w:line="240" w:lineRule="auto"/>
        <w:ind w:left="0" w:leftChars="0" w:firstLine="0" w:firstLineChars="0"/>
        <w:jc w:val="both"/>
        <w:textAlignment w:val="auto"/>
        <w:rPr>
          <w:rFonts w:ascii="Arial" w:hAnsi="Arial" w:eastAsia="Times New Roman" w:cs="Arial"/>
          <w:sz w:val="17"/>
          <w:szCs w:val="17"/>
        </w:rPr>
      </w:pPr>
      <w:r>
        <w:rPr>
          <w:rFonts w:ascii="Arial" w:hAnsi="Arial" w:eastAsia="Times New Roman" w:cs="Arial"/>
          <w:sz w:val="17"/>
          <w:szCs w:val="17"/>
        </w:rPr>
        <w:t>Efetuar a entrega do objeto em perfeitas condições, conforme especificações, prazo e local constantes no Termo de Referência e seus anexos, acompanhado da respectiva nota fiscal, na qual constarão as indicações referentes, no mínimo, a: marca, fabricante, modelo, procedência e prazo de garantia ou validade.</w:t>
      </w:r>
    </w:p>
    <w:p w14:paraId="53122336">
      <w:pPr>
        <w:keepNext w:val="0"/>
        <w:keepLines w:val="0"/>
        <w:pageBreakBefore w:val="0"/>
        <w:widowControl/>
        <w:numPr>
          <w:ilvl w:val="0"/>
          <w:numId w:val="26"/>
        </w:numPr>
        <w:tabs>
          <w:tab w:val="left" w:pos="480"/>
          <w:tab w:val="clear" w:pos="425"/>
        </w:tabs>
        <w:kinsoku/>
        <w:wordWrap/>
        <w:overflowPunct/>
        <w:topLinePunct w:val="0"/>
        <w:autoSpaceDE/>
        <w:autoSpaceDN/>
        <w:bidi w:val="0"/>
        <w:adjustRightInd/>
        <w:snapToGrid/>
        <w:spacing w:after="0" w:line="240" w:lineRule="auto"/>
        <w:ind w:left="0" w:leftChars="0" w:firstLine="0" w:firstLineChars="0"/>
        <w:jc w:val="both"/>
        <w:textAlignment w:val="auto"/>
        <w:rPr>
          <w:rFonts w:ascii="Arial" w:hAnsi="Arial" w:eastAsia="Times New Roman" w:cs="Arial"/>
          <w:sz w:val="17"/>
          <w:szCs w:val="17"/>
        </w:rPr>
      </w:pPr>
      <w:r>
        <w:rPr>
          <w:rFonts w:ascii="Arial" w:hAnsi="Arial" w:eastAsia="Times New Roman" w:cs="Arial"/>
          <w:color w:val="000000"/>
          <w:sz w:val="17"/>
          <w:szCs w:val="17"/>
        </w:rPr>
        <w:t xml:space="preserve">Comunicar à </w:t>
      </w:r>
      <w:r>
        <w:rPr>
          <w:rFonts w:ascii="Arial" w:hAnsi="Arial" w:eastAsia="Times New Roman" w:cs="Arial"/>
          <w:b/>
          <w:color w:val="000000"/>
          <w:sz w:val="17"/>
          <w:szCs w:val="17"/>
        </w:rPr>
        <w:t>CONTRATANTE</w:t>
      </w:r>
      <w:r>
        <w:rPr>
          <w:rFonts w:ascii="Arial" w:hAnsi="Arial" w:eastAsia="Times New Roman" w:cs="Arial"/>
          <w:color w:val="000000"/>
          <w:sz w:val="17"/>
          <w:szCs w:val="17"/>
        </w:rPr>
        <w:t xml:space="preserve"> qualquer anormalidade de caráter urgente e prestar os esclarecimentos que julgarem-se necessários.</w:t>
      </w:r>
    </w:p>
    <w:p w14:paraId="4756DCB0">
      <w:pPr>
        <w:keepNext w:val="0"/>
        <w:keepLines w:val="0"/>
        <w:pageBreakBefore w:val="0"/>
        <w:widowControl/>
        <w:numPr>
          <w:ilvl w:val="0"/>
          <w:numId w:val="26"/>
        </w:numPr>
        <w:tabs>
          <w:tab w:val="left" w:pos="480"/>
          <w:tab w:val="clear" w:pos="425"/>
        </w:tabs>
        <w:kinsoku/>
        <w:wordWrap/>
        <w:overflowPunct/>
        <w:topLinePunct w:val="0"/>
        <w:autoSpaceDE/>
        <w:autoSpaceDN/>
        <w:bidi w:val="0"/>
        <w:adjustRightInd/>
        <w:snapToGrid/>
        <w:spacing w:line="240" w:lineRule="auto"/>
        <w:ind w:left="0" w:leftChars="0" w:firstLine="0" w:firstLineChars="0"/>
        <w:jc w:val="both"/>
        <w:textAlignment w:val="auto"/>
        <w:rPr>
          <w:rFonts w:ascii="Arial" w:hAnsi="Arial" w:eastAsia="Times New Roman" w:cs="Arial"/>
          <w:sz w:val="17"/>
          <w:szCs w:val="17"/>
        </w:rPr>
      </w:pPr>
      <w:r>
        <w:rPr>
          <w:rFonts w:ascii="Arial" w:hAnsi="Arial" w:eastAsia="Times New Roman" w:cs="Arial"/>
          <w:sz w:val="17"/>
          <w:szCs w:val="17"/>
        </w:rPr>
        <w:t>Deverá conter na Nota Fiscal, o número da Solicitação de Fornecimento ou número de empenho referente ao produto.</w:t>
      </w:r>
    </w:p>
    <w:p w14:paraId="5E9FEDEA">
      <w:pPr>
        <w:pStyle w:val="220"/>
        <w:keepNext w:val="0"/>
        <w:keepLines w:val="0"/>
        <w:pageBreakBefore w:val="0"/>
        <w:widowControl/>
        <w:suppressAutoHyphens w:val="0"/>
        <w:kinsoku/>
        <w:wordWrap/>
        <w:overflowPunct/>
        <w:topLinePunct w:val="0"/>
        <w:autoSpaceDE/>
        <w:autoSpaceDN/>
        <w:bidi w:val="0"/>
        <w:adjustRightInd/>
        <w:snapToGrid/>
        <w:spacing w:line="240" w:lineRule="auto"/>
        <w:ind w:left="0" w:right="0"/>
        <w:jc w:val="both"/>
        <w:textAlignment w:val="auto"/>
        <w:rPr>
          <w:rFonts w:hint="default" w:ascii="Arial" w:hAnsi="Arial" w:cs="Arial"/>
          <w:sz w:val="17"/>
          <w:szCs w:val="17"/>
          <w:lang w:val="pt-BR"/>
        </w:rPr>
      </w:pPr>
    </w:p>
    <w:p w14:paraId="4077D581">
      <w:pPr>
        <w:pStyle w:val="220"/>
        <w:numPr>
          <w:ilvl w:val="1"/>
          <w:numId w:val="27"/>
        </w:numPr>
        <w:spacing w:line="240" w:lineRule="auto"/>
        <w:ind w:left="0" w:firstLine="0"/>
        <w:jc w:val="both"/>
        <w:rPr>
          <w:rFonts w:hint="default" w:ascii="Arial" w:hAnsi="Arial" w:cs="Arial"/>
          <w:b/>
          <w:bCs/>
          <w:sz w:val="17"/>
          <w:szCs w:val="17"/>
        </w:rPr>
      </w:pPr>
      <w:r>
        <w:rPr>
          <w:rFonts w:hint="default" w:ascii="Arial" w:hAnsi="Arial" w:cs="Arial"/>
          <w:b/>
          <w:bCs/>
          <w:sz w:val="17"/>
          <w:szCs w:val="17"/>
        </w:rPr>
        <w:t>Da Contratante:</w:t>
      </w:r>
    </w:p>
    <w:p w14:paraId="5334F07C">
      <w:pPr>
        <w:numPr>
          <w:ilvl w:val="0"/>
          <w:numId w:val="28"/>
        </w:numPr>
        <w:tabs>
          <w:tab w:val="left" w:pos="0"/>
          <w:tab w:val="left" w:pos="240"/>
          <w:tab w:val="left" w:pos="480"/>
          <w:tab w:val="clear" w:pos="425"/>
        </w:tabs>
        <w:spacing w:after="0" w:line="240" w:lineRule="auto"/>
        <w:ind w:left="5" w:leftChars="0" w:hanging="5" w:firstLineChars="0"/>
        <w:jc w:val="both"/>
        <w:rPr>
          <w:rFonts w:ascii="Arial" w:hAnsi="Arial" w:eastAsia="Times New Roman" w:cs="Arial"/>
          <w:color w:val="000000"/>
          <w:sz w:val="17"/>
          <w:szCs w:val="17"/>
        </w:rPr>
      </w:pPr>
      <w:r>
        <w:rPr>
          <w:rFonts w:ascii="Arial" w:hAnsi="Arial" w:eastAsia="Times New Roman" w:cs="Arial"/>
          <w:color w:val="000000"/>
          <w:sz w:val="17"/>
          <w:szCs w:val="17"/>
        </w:rPr>
        <w:t>Promover o acompanhamento e a fiscalização da entrega do objeto da aquisição.</w:t>
      </w:r>
    </w:p>
    <w:p w14:paraId="4CB8400A">
      <w:pPr>
        <w:numPr>
          <w:ilvl w:val="0"/>
          <w:numId w:val="28"/>
        </w:numPr>
        <w:tabs>
          <w:tab w:val="left" w:pos="0"/>
          <w:tab w:val="left" w:pos="240"/>
          <w:tab w:val="left" w:pos="480"/>
          <w:tab w:val="clear" w:pos="425"/>
        </w:tabs>
        <w:spacing w:after="0" w:line="240" w:lineRule="auto"/>
        <w:ind w:left="5" w:leftChars="0" w:hanging="5" w:firstLineChars="0"/>
        <w:jc w:val="both"/>
        <w:rPr>
          <w:rFonts w:ascii="Arial" w:hAnsi="Arial" w:eastAsia="Times New Roman" w:cs="Arial"/>
          <w:color w:val="000000"/>
          <w:sz w:val="17"/>
          <w:szCs w:val="17"/>
        </w:rPr>
      </w:pPr>
      <w:r>
        <w:rPr>
          <w:rFonts w:ascii="Arial" w:hAnsi="Arial" w:eastAsia="Times New Roman" w:cs="Arial"/>
          <w:color w:val="000000"/>
          <w:sz w:val="17"/>
          <w:szCs w:val="17"/>
        </w:rPr>
        <w:t>Prestar informações, relativas ao objeto da aquisição, que venham a ser solicitadas pela licitante vencedora.</w:t>
      </w:r>
    </w:p>
    <w:p w14:paraId="3C99B0B6">
      <w:pPr>
        <w:numPr>
          <w:ilvl w:val="0"/>
          <w:numId w:val="28"/>
        </w:numPr>
        <w:tabs>
          <w:tab w:val="left" w:pos="0"/>
          <w:tab w:val="left" w:pos="240"/>
          <w:tab w:val="left" w:pos="480"/>
          <w:tab w:val="clear" w:pos="425"/>
        </w:tabs>
        <w:spacing w:after="0" w:line="240" w:lineRule="auto"/>
        <w:ind w:left="5" w:leftChars="0" w:hanging="5" w:firstLineChars="0"/>
        <w:jc w:val="both"/>
        <w:rPr>
          <w:rFonts w:ascii="Arial" w:hAnsi="Arial" w:eastAsia="Times New Roman" w:cs="Arial"/>
          <w:color w:val="000000"/>
          <w:sz w:val="17"/>
          <w:szCs w:val="17"/>
        </w:rPr>
      </w:pPr>
      <w:r>
        <w:rPr>
          <w:rFonts w:ascii="Arial" w:hAnsi="Arial" w:eastAsia="Times New Roman" w:cs="Arial"/>
          <w:color w:val="000000"/>
          <w:sz w:val="17"/>
          <w:szCs w:val="17"/>
        </w:rPr>
        <w:t>Efetuar o pagamento do valor constante na nota fiscal/fatura, em até 30 (trinta) dias consecutivos após o recebimento da mesma, devidamente atestada.</w:t>
      </w:r>
    </w:p>
    <w:p w14:paraId="2F563BF7">
      <w:pPr>
        <w:numPr>
          <w:ilvl w:val="0"/>
          <w:numId w:val="28"/>
        </w:numPr>
        <w:tabs>
          <w:tab w:val="left" w:pos="0"/>
          <w:tab w:val="left" w:pos="240"/>
          <w:tab w:val="left" w:pos="480"/>
          <w:tab w:val="clear" w:pos="425"/>
        </w:tabs>
        <w:spacing w:after="0" w:line="240" w:lineRule="auto"/>
        <w:ind w:left="5" w:leftChars="0" w:hanging="5" w:firstLineChars="0"/>
        <w:jc w:val="both"/>
        <w:rPr>
          <w:rFonts w:ascii="Arial" w:hAnsi="Arial" w:eastAsia="Times New Roman" w:cs="Arial"/>
          <w:color w:val="000000"/>
          <w:sz w:val="17"/>
          <w:szCs w:val="17"/>
        </w:rPr>
      </w:pPr>
      <w:r>
        <w:rPr>
          <w:rFonts w:ascii="Arial" w:hAnsi="Arial" w:eastAsia="Times New Roman" w:cs="Arial"/>
          <w:color w:val="000000"/>
          <w:sz w:val="17"/>
          <w:szCs w:val="17"/>
        </w:rPr>
        <w:t>Rejeitar o (s) produto (s) e/ou que não satisfizerem aos padrões exigidos nas especificações e recomendações da contratante.</w:t>
      </w:r>
    </w:p>
    <w:p w14:paraId="190AA57E">
      <w:pPr>
        <w:numPr>
          <w:ilvl w:val="0"/>
          <w:numId w:val="28"/>
        </w:numPr>
        <w:tabs>
          <w:tab w:val="left" w:pos="0"/>
          <w:tab w:val="left" w:pos="240"/>
          <w:tab w:val="left" w:pos="480"/>
          <w:tab w:val="clear" w:pos="425"/>
        </w:tabs>
        <w:spacing w:after="0" w:line="240" w:lineRule="auto"/>
        <w:ind w:left="5" w:leftChars="0" w:hanging="5" w:firstLineChars="0"/>
        <w:jc w:val="both"/>
        <w:rPr>
          <w:rFonts w:ascii="Arial" w:hAnsi="Arial" w:eastAsia="Times New Roman" w:cs="Arial"/>
          <w:color w:val="000000"/>
          <w:sz w:val="17"/>
          <w:szCs w:val="17"/>
        </w:rPr>
      </w:pPr>
      <w:r>
        <w:rPr>
          <w:rFonts w:ascii="Arial" w:hAnsi="Arial" w:eastAsia="Times New Roman" w:cs="Arial"/>
          <w:color w:val="000000"/>
          <w:sz w:val="17"/>
          <w:szCs w:val="17"/>
        </w:rPr>
        <w:t xml:space="preserve">Notificar a </w:t>
      </w:r>
      <w:r>
        <w:rPr>
          <w:rFonts w:ascii="Arial" w:hAnsi="Arial" w:eastAsia="Times New Roman" w:cs="Arial"/>
          <w:b/>
          <w:color w:val="000000"/>
          <w:sz w:val="17"/>
          <w:szCs w:val="17"/>
        </w:rPr>
        <w:t>CONTRATADA</w:t>
      </w:r>
      <w:r>
        <w:rPr>
          <w:rFonts w:ascii="Arial" w:hAnsi="Arial" w:eastAsia="Times New Roman" w:cs="Arial"/>
          <w:color w:val="000000"/>
          <w:sz w:val="17"/>
          <w:szCs w:val="17"/>
        </w:rPr>
        <w:t>, por escrito, quando não efetuar a  entrega do(s) iten(s), após 10 (dez) dias corridos da geração da Solicitação de Fornecimento.</w:t>
      </w:r>
    </w:p>
    <w:p w14:paraId="616F2684">
      <w:pPr>
        <w:numPr>
          <w:ilvl w:val="0"/>
          <w:numId w:val="28"/>
        </w:numPr>
        <w:tabs>
          <w:tab w:val="left" w:pos="0"/>
          <w:tab w:val="left" w:pos="240"/>
          <w:tab w:val="left" w:pos="480"/>
          <w:tab w:val="clear" w:pos="425"/>
        </w:tabs>
        <w:spacing w:after="0" w:line="240" w:lineRule="auto"/>
        <w:ind w:left="5" w:leftChars="0" w:hanging="5" w:firstLineChars="0"/>
        <w:jc w:val="both"/>
        <w:rPr>
          <w:rFonts w:ascii="Arial" w:hAnsi="Arial" w:eastAsia="Times New Roman" w:cs="Arial"/>
          <w:color w:val="000000"/>
          <w:sz w:val="17"/>
          <w:szCs w:val="17"/>
        </w:rPr>
      </w:pPr>
      <w:r>
        <w:rPr>
          <w:rFonts w:ascii="Arial" w:hAnsi="Arial" w:eastAsia="Times New Roman" w:cs="Arial"/>
          <w:color w:val="000000"/>
          <w:sz w:val="17"/>
          <w:szCs w:val="17"/>
        </w:rPr>
        <w:t xml:space="preserve">Notificar a </w:t>
      </w:r>
      <w:r>
        <w:rPr>
          <w:rFonts w:ascii="Arial" w:hAnsi="Arial" w:eastAsia="Times New Roman" w:cs="Arial"/>
          <w:b/>
          <w:color w:val="000000"/>
          <w:sz w:val="17"/>
          <w:szCs w:val="17"/>
        </w:rPr>
        <w:t>CONTRATADA</w:t>
      </w:r>
      <w:r>
        <w:rPr>
          <w:rFonts w:ascii="Arial" w:hAnsi="Arial" w:eastAsia="Times New Roman" w:cs="Arial"/>
          <w:color w:val="000000"/>
          <w:sz w:val="17"/>
          <w:szCs w:val="17"/>
        </w:rPr>
        <w:t>, por escrito, de quaisquer irregularidades que venham a ocorrer, em função da prestação do objeto do contrato.</w:t>
      </w:r>
    </w:p>
    <w:p w14:paraId="78F4376D">
      <w:pPr>
        <w:numPr>
          <w:ilvl w:val="0"/>
          <w:numId w:val="28"/>
        </w:numPr>
        <w:tabs>
          <w:tab w:val="left" w:pos="0"/>
          <w:tab w:val="left" w:pos="240"/>
          <w:tab w:val="left" w:pos="480"/>
          <w:tab w:val="clear" w:pos="425"/>
        </w:tabs>
        <w:spacing w:after="0" w:line="240" w:lineRule="auto"/>
        <w:ind w:left="5" w:leftChars="0" w:hanging="5" w:firstLineChars="0"/>
        <w:jc w:val="both"/>
        <w:rPr>
          <w:rFonts w:ascii="Arial" w:hAnsi="Arial" w:eastAsia="Times New Roman" w:cs="Arial"/>
          <w:b/>
          <w:color w:val="000000"/>
          <w:sz w:val="17"/>
          <w:szCs w:val="17"/>
        </w:rPr>
      </w:pPr>
      <w:r>
        <w:rPr>
          <w:rFonts w:ascii="Arial" w:hAnsi="Arial" w:eastAsia="Times New Roman" w:cs="Arial"/>
          <w:color w:val="000000"/>
          <w:sz w:val="17"/>
          <w:szCs w:val="17"/>
        </w:rPr>
        <w:t>Cumprir e fazer-se cumprir o disposto nas cláusulas deste Termo de Referência.</w:t>
      </w:r>
    </w:p>
    <w:p w14:paraId="67640329">
      <w:pPr>
        <w:pStyle w:val="333"/>
        <w:keepNext w:val="0"/>
        <w:keepLines w:val="0"/>
        <w:pageBreakBefore w:val="0"/>
        <w:widowControl/>
        <w:numPr>
          <w:ilvl w:val="0"/>
          <w:numId w:val="28"/>
        </w:numPr>
        <w:tabs>
          <w:tab w:val="left" w:pos="0"/>
          <w:tab w:val="left" w:pos="240"/>
          <w:tab w:val="left" w:pos="480"/>
          <w:tab w:val="clear" w:pos="425"/>
        </w:tabs>
        <w:kinsoku/>
        <w:wordWrap/>
        <w:overflowPunct/>
        <w:topLinePunct w:val="0"/>
        <w:autoSpaceDE/>
        <w:bidi w:val="0"/>
        <w:adjustRightInd/>
        <w:snapToGrid/>
        <w:spacing w:after="0" w:line="240" w:lineRule="auto"/>
        <w:ind w:left="5" w:leftChars="0" w:hanging="5" w:firstLineChars="0"/>
        <w:jc w:val="both"/>
        <w:rPr>
          <w:rFonts w:hint="default" w:ascii="Arial" w:hAnsi="Arial" w:cs="Arial"/>
          <w:sz w:val="17"/>
          <w:szCs w:val="17"/>
          <w:lang w:val="pt-BR"/>
        </w:rPr>
      </w:pPr>
      <w:r>
        <w:rPr>
          <w:rFonts w:ascii="Arial" w:hAnsi="Arial" w:eastAsia="Times New Roman" w:cs="Arial"/>
          <w:color w:val="000000"/>
          <w:sz w:val="17"/>
          <w:szCs w:val="17"/>
        </w:rPr>
        <w:t>Fornecer todos os elementos básicos e dados complementares à execução dos serviços ora licitados</w:t>
      </w:r>
      <w:r>
        <w:rPr>
          <w:rFonts w:ascii="Arial" w:hAnsi="Arial" w:eastAsia="Times New Roman" w:cs="Arial"/>
          <w:b/>
          <w:color w:val="000000"/>
          <w:sz w:val="17"/>
          <w:szCs w:val="17"/>
        </w:rPr>
        <w:t>.</w:t>
      </w:r>
    </w:p>
    <w:p w14:paraId="12F2444A">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cs="Arial"/>
          <w:sz w:val="17"/>
          <w:szCs w:val="17"/>
          <w:lang w:val="pt-BR"/>
        </w:rPr>
      </w:pPr>
    </w:p>
    <w:p w14:paraId="46C12B60">
      <w:pPr>
        <w:pStyle w:val="278"/>
        <w:numPr>
          <w:ilvl w:val="0"/>
          <w:numId w:val="0"/>
        </w:numPr>
        <w:spacing w:before="0" w:line="240" w:lineRule="auto"/>
        <w:rPr>
          <w:rFonts w:hint="default" w:ascii="Arial" w:hAnsi="Arial" w:cs="Arial"/>
          <w:sz w:val="17"/>
          <w:szCs w:val="17"/>
        </w:rPr>
      </w:pPr>
      <w:r>
        <w:rPr>
          <w:rFonts w:hint="default" w:ascii="Arial" w:hAnsi="Arial" w:eastAsia="Tahoma" w:cs="Arial"/>
          <w:sz w:val="17"/>
          <w:szCs w:val="17"/>
        </w:rPr>
        <w:t>CLÁUSULA SEXTA-</w:t>
      </w:r>
      <w:r>
        <w:rPr>
          <w:rFonts w:hint="default" w:ascii="Arial" w:hAnsi="Arial" w:cs="Arial"/>
          <w:sz w:val="17"/>
          <w:szCs w:val="17"/>
        </w:rPr>
        <w:t xml:space="preserve"> VALIDADE, FORMALIZAÇÃO DA ATA DE REGISTRO DE PREÇOS E CADASTRO RESERVA</w:t>
      </w:r>
    </w:p>
    <w:p w14:paraId="2AF0FB9C">
      <w:pPr>
        <w:pStyle w:val="303"/>
        <w:spacing w:before="0" w:after="0" w:line="240" w:lineRule="auto"/>
        <w:rPr>
          <w:rFonts w:hint="default" w:ascii="Arial" w:hAnsi="Arial" w:cs="Arial"/>
          <w:iCs/>
          <w:color w:val="auto"/>
          <w:sz w:val="17"/>
          <w:szCs w:val="17"/>
        </w:rPr>
      </w:pPr>
      <w:r>
        <w:rPr>
          <w:rFonts w:hint="default" w:ascii="Arial" w:hAnsi="Arial" w:cs="Arial"/>
          <w:sz w:val="17"/>
          <w:szCs w:val="17"/>
        </w:rPr>
        <w:t>6.1 A validade da Ata de Registro de Preços será de 1 (um) ano, contado a partir do primeiro dia útil subsequente à data de divulgação no PNCP,</w:t>
      </w:r>
      <w:r>
        <w:rPr>
          <w:rFonts w:hint="default" w:ascii="Arial" w:hAnsi="Arial" w:cs="Arial"/>
          <w:color w:val="auto"/>
          <w:sz w:val="17"/>
          <w:szCs w:val="17"/>
        </w:rPr>
        <w:t xml:space="preserve"> podendo ser prorrogada por igual período, mediante a anuência do fornecedor, desde que comprovado o preço vantajoso.</w:t>
      </w:r>
    </w:p>
    <w:p w14:paraId="00EA6ADA">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54ADE82">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6.3 Na formalização do contrato ou do instrumento substituto deverá haver a indicação da disponibilidade dos créditos orçamentários respectivos.</w:t>
      </w:r>
    </w:p>
    <w:p w14:paraId="76662883">
      <w:pPr>
        <w:pStyle w:val="303"/>
        <w:spacing w:before="0" w:after="0" w:line="240" w:lineRule="auto"/>
        <w:rPr>
          <w:rFonts w:hint="default" w:ascii="Arial" w:hAnsi="Arial" w:cs="Arial"/>
          <w:sz w:val="17"/>
          <w:szCs w:val="17"/>
        </w:rPr>
      </w:pPr>
      <w:r>
        <w:rPr>
          <w:rFonts w:hint="default" w:ascii="Arial" w:hAnsi="Arial" w:cs="Arial"/>
          <w:sz w:val="17"/>
          <w:szCs w:val="17"/>
        </w:rPr>
        <w:t>6.4 A contratação com os fornecedores registrados na ata será formalizada pelo órgão ou pela en</w:t>
      </w:r>
      <w:r>
        <w:rPr>
          <w:rFonts w:hint="default" w:ascii="Arial" w:hAnsi="Arial" w:eastAsia="Arial" w:cs="Arial"/>
          <w:sz w:val="17"/>
          <w:szCs w:val="17"/>
        </w:rPr>
        <w:t>ti</w:t>
      </w:r>
      <w:r>
        <w:rPr>
          <w:rFonts w:hint="default" w:ascii="Arial" w:hAnsi="Arial" w:cs="Arial"/>
          <w:sz w:val="17"/>
          <w:szCs w:val="17"/>
        </w:rPr>
        <w:t>dade interessada por intermédio de instrumento contratual, emissão de nota de empenho de despesa, autorização de compra ou outro instrumento hábil, conforme o art. 95 da Lei nº 14.133, de 2021.</w:t>
      </w:r>
    </w:p>
    <w:p w14:paraId="5498E7A6">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6.4.1 O instrumento contratual de que trata o item 6.4. deverá ser assinado no prazo de validade da ata de registro de preços.</w:t>
      </w:r>
    </w:p>
    <w:p w14:paraId="6D7A79D7">
      <w:pPr>
        <w:pStyle w:val="303"/>
        <w:spacing w:before="0" w:after="0" w:line="240" w:lineRule="auto"/>
        <w:rPr>
          <w:rFonts w:hint="default" w:ascii="Arial" w:hAnsi="Arial" w:cs="Arial"/>
          <w:sz w:val="17"/>
          <w:szCs w:val="17"/>
        </w:rPr>
      </w:pPr>
      <w:r>
        <w:rPr>
          <w:rFonts w:hint="default" w:ascii="Arial" w:hAnsi="Arial" w:cs="Arial"/>
          <w:sz w:val="17"/>
          <w:szCs w:val="17"/>
        </w:rPr>
        <w:t>6.5 Os contratos decorrentes do sistema de registro de preços poderão ser alterados, observado o art. 124 da Lei nº 14.133, de 2021.</w:t>
      </w:r>
    </w:p>
    <w:p w14:paraId="725CC8FC">
      <w:pPr>
        <w:pStyle w:val="303"/>
        <w:spacing w:before="0" w:after="0" w:line="240" w:lineRule="auto"/>
        <w:rPr>
          <w:rFonts w:hint="default" w:ascii="Arial" w:hAnsi="Arial" w:cs="Arial"/>
          <w:sz w:val="17"/>
          <w:szCs w:val="17"/>
        </w:rPr>
      </w:pPr>
      <w:r>
        <w:rPr>
          <w:rFonts w:hint="default" w:ascii="Arial" w:hAnsi="Arial" w:cs="Arial"/>
          <w:sz w:val="17"/>
          <w:szCs w:val="17"/>
        </w:rPr>
        <w:t>6.6 Após a homologação da licitação ou da contratação direta, deverão ser observadas as seguintes condições para formalização da ata de registro de preços:</w:t>
      </w:r>
    </w:p>
    <w:p w14:paraId="71B2D048">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6.6.1 Serão registrados na ata os preços e os quantita</w:t>
      </w:r>
      <w:r>
        <w:rPr>
          <w:rFonts w:hint="default" w:ascii="Arial" w:hAnsi="Arial" w:eastAsia="Arial" w:cs="Arial"/>
          <w:sz w:val="17"/>
          <w:szCs w:val="17"/>
        </w:rPr>
        <w:t>ti</w:t>
      </w:r>
      <w:r>
        <w:rPr>
          <w:rFonts w:hint="default" w:ascii="Arial" w:hAnsi="Arial" w:cs="Arial"/>
          <w:sz w:val="17"/>
          <w:szCs w:val="17"/>
        </w:rPr>
        <w:t xml:space="preserve">vos do adjudicatário. </w:t>
      </w:r>
      <w:bookmarkStart w:id="46" w:name="cadastro_reserva"/>
      <w:bookmarkEnd w:id="46"/>
    </w:p>
    <w:p w14:paraId="67DE2512">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6.6.2 Será respeitada, nas contratações, a ordem de classificação dos licitantes ou dos fornecedores registrados na ata.</w:t>
      </w:r>
    </w:p>
    <w:p w14:paraId="0D34B9A9">
      <w:pPr>
        <w:pStyle w:val="303"/>
        <w:spacing w:before="0" w:after="0" w:line="240" w:lineRule="auto"/>
        <w:rPr>
          <w:rFonts w:hint="default" w:ascii="Arial" w:hAnsi="Arial" w:cs="Arial"/>
          <w:sz w:val="17"/>
          <w:szCs w:val="17"/>
        </w:rPr>
      </w:pPr>
      <w:r>
        <w:rPr>
          <w:rFonts w:hint="default" w:ascii="Arial" w:hAnsi="Arial" w:cs="Arial"/>
          <w:sz w:val="17"/>
          <w:szCs w:val="17"/>
        </w:rPr>
        <w:t>6.6.3 Para fins da ordem de classificação, os licitantes ou fornecedores que aceitarem reduzir suas propostas para o preço do adjudicatário antecederão aqueles que mantiverem sua proposta original.</w:t>
      </w:r>
    </w:p>
    <w:p w14:paraId="60DA865D">
      <w:pPr>
        <w:pStyle w:val="303"/>
        <w:spacing w:before="0" w:after="0" w:line="240" w:lineRule="auto"/>
        <w:rPr>
          <w:rFonts w:hint="default" w:ascii="Arial" w:hAnsi="Arial" w:cs="Arial"/>
          <w:sz w:val="17"/>
          <w:szCs w:val="17"/>
        </w:rPr>
      </w:pPr>
      <w:r>
        <w:rPr>
          <w:rFonts w:hint="default" w:ascii="Arial" w:hAnsi="Arial" w:cs="Arial"/>
          <w:sz w:val="17"/>
          <w:szCs w:val="17"/>
        </w:rPr>
        <w:t>6.7 A convocação dos licitantes que compõem o cadastro de reserva somente será efetuada quando houver necessidade de contratação dos licitantes remanescentes, nas seguintes hipóteses:</w:t>
      </w:r>
      <w:bookmarkStart w:id="47" w:name="habilitacao_reserva"/>
      <w:bookmarkEnd w:id="47"/>
    </w:p>
    <w:p w14:paraId="7F32DFB2">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6.7.1 Quando o licitante vencedor não assinar a ata de registro de preços, no prazo e nas condições estabelecidos no edital.</w:t>
      </w:r>
    </w:p>
    <w:p w14:paraId="2CACFDB9">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 xml:space="preserve">6.7.2 Quando houver o cancelamento do registro do licitante ou do registro de preços nas hipóteses previstas no item </w:t>
      </w:r>
      <w:r>
        <w:rPr>
          <w:rFonts w:hint="default" w:ascii="Arial" w:hAnsi="Arial" w:cs="Arial"/>
          <w:sz w:val="17"/>
          <w:szCs w:val="17"/>
        </w:rPr>
        <w:fldChar w:fldCharType="begin"/>
      </w:r>
      <w:r>
        <w:rPr>
          <w:rFonts w:hint="default" w:ascii="Arial" w:hAnsi="Arial" w:cs="Arial"/>
          <w:sz w:val="17"/>
          <w:szCs w:val="17"/>
        </w:rPr>
        <w:instrText xml:space="preserve"> REF cancelamento \r \h  \* MERGEFORMAT </w:instrText>
      </w:r>
      <w:r>
        <w:rPr>
          <w:rFonts w:hint="default" w:ascii="Arial" w:hAnsi="Arial" w:cs="Arial"/>
          <w:sz w:val="17"/>
          <w:szCs w:val="17"/>
        </w:rPr>
        <w:fldChar w:fldCharType="separate"/>
      </w:r>
      <w:r>
        <w:rPr>
          <w:rFonts w:hint="default" w:ascii="Arial" w:hAnsi="Arial" w:cs="Arial"/>
          <w:sz w:val="17"/>
          <w:szCs w:val="17"/>
        </w:rPr>
        <w:t>9</w:t>
      </w:r>
      <w:r>
        <w:rPr>
          <w:rFonts w:hint="default" w:ascii="Arial" w:hAnsi="Arial" w:cs="Arial"/>
          <w:sz w:val="17"/>
          <w:szCs w:val="17"/>
        </w:rPr>
        <w:fldChar w:fldCharType="end"/>
      </w:r>
      <w:r>
        <w:rPr>
          <w:rFonts w:hint="default" w:ascii="Arial" w:hAnsi="Arial" w:cs="Arial"/>
          <w:sz w:val="17"/>
          <w:szCs w:val="17"/>
        </w:rPr>
        <w:t>.</w:t>
      </w:r>
    </w:p>
    <w:p w14:paraId="4C45BD58">
      <w:pPr>
        <w:pStyle w:val="303"/>
        <w:spacing w:before="0" w:after="0" w:line="240" w:lineRule="auto"/>
        <w:rPr>
          <w:rFonts w:hint="default" w:ascii="Arial" w:hAnsi="Arial" w:cs="Arial"/>
          <w:sz w:val="17"/>
          <w:szCs w:val="17"/>
        </w:rPr>
      </w:pPr>
      <w:r>
        <w:rPr>
          <w:rFonts w:hint="default" w:ascii="Arial" w:hAnsi="Arial" w:cs="Arial"/>
          <w:sz w:val="17"/>
          <w:szCs w:val="17"/>
        </w:rPr>
        <w:t>6.8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C7A0A09">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6.8.1 O prazo de convocação poderá ser prorrogado 1 (uma) vez, por igual período, mediante solicitação do licitante ou fornecedor convocado, desde que apresentada dentro do prazo, devidamente justificada, e que a justificativa seja aceita pela Administração.</w:t>
      </w:r>
    </w:p>
    <w:p w14:paraId="744D1F20">
      <w:pPr>
        <w:pStyle w:val="303"/>
        <w:spacing w:before="0" w:after="0" w:line="240" w:lineRule="auto"/>
        <w:rPr>
          <w:rFonts w:hint="default" w:ascii="Arial" w:hAnsi="Arial" w:cs="Arial"/>
          <w:sz w:val="17"/>
          <w:szCs w:val="17"/>
        </w:rPr>
      </w:pPr>
      <w:r>
        <w:rPr>
          <w:rFonts w:hint="default" w:ascii="Arial" w:hAnsi="Arial" w:cs="Arial"/>
          <w:sz w:val="17"/>
          <w:szCs w:val="17"/>
        </w:rPr>
        <w:t>6.9 A ata de registro de preços poderá ser assinada por meio de assinatura digital e disponibilizada no Sistema de Registro de Preços.</w:t>
      </w:r>
    </w:p>
    <w:p w14:paraId="5773CA86">
      <w:pPr>
        <w:pStyle w:val="303"/>
        <w:spacing w:before="0" w:after="0" w:line="240" w:lineRule="auto"/>
        <w:rPr>
          <w:rFonts w:hint="default" w:ascii="Arial" w:hAnsi="Arial" w:cs="Arial"/>
          <w:sz w:val="17"/>
          <w:szCs w:val="17"/>
        </w:rPr>
      </w:pPr>
      <w:r>
        <w:rPr>
          <w:rFonts w:hint="default" w:ascii="Arial" w:hAnsi="Arial" w:cs="Arial"/>
          <w:sz w:val="17"/>
          <w:szCs w:val="17"/>
        </w:rPr>
        <w:t>6.10 Quando o convocado não assinar a ata de registro de preços no prazo e nas condições estabelecidos no edital ou no aviso de contratação, fica facultado à Administração convocar os licitantes remanescentes do cadastro de reserva, na ordem de classificação, para fazê-lo em igual prazo e nas condições propostas pelo primeiro classificado.</w:t>
      </w:r>
      <w:bookmarkStart w:id="48" w:name="recusa_dos_que_baixaram_preco"/>
      <w:bookmarkEnd w:id="48"/>
    </w:p>
    <w:p w14:paraId="7D583F0F">
      <w:pPr>
        <w:pStyle w:val="303"/>
        <w:spacing w:before="0" w:after="0" w:line="240" w:lineRule="auto"/>
        <w:rPr>
          <w:rFonts w:hint="default" w:ascii="Arial" w:hAnsi="Arial" w:cs="Arial"/>
          <w:color w:val="auto"/>
          <w:sz w:val="17"/>
          <w:szCs w:val="17"/>
        </w:rPr>
      </w:pPr>
      <w:r>
        <w:rPr>
          <w:rFonts w:hint="default" w:ascii="Arial" w:hAnsi="Arial" w:cs="Arial"/>
          <w:sz w:val="17"/>
          <w:szCs w:val="17"/>
        </w:rPr>
        <w:t>6.11 Na hipótese de nenhum dos licitantes que trata o item aceitar a contratação nos termos do vencedor, a Administração, observados o valor es</w:t>
      </w:r>
      <w:r>
        <w:rPr>
          <w:rFonts w:hint="default" w:ascii="Arial" w:hAnsi="Arial" w:eastAsia="Arial" w:cs="Arial"/>
          <w:sz w:val="17"/>
          <w:szCs w:val="17"/>
        </w:rPr>
        <w:t>ti</w:t>
      </w:r>
      <w:r>
        <w:rPr>
          <w:rFonts w:hint="default" w:ascii="Arial" w:hAnsi="Arial" w:cs="Arial"/>
          <w:sz w:val="17"/>
          <w:szCs w:val="17"/>
        </w:rPr>
        <w:t xml:space="preserve">mado e sua eventual atualização nos termos </w:t>
      </w:r>
      <w:r>
        <w:rPr>
          <w:rFonts w:hint="default" w:ascii="Arial" w:hAnsi="Arial" w:cs="Arial"/>
          <w:color w:val="auto"/>
          <w:sz w:val="17"/>
          <w:szCs w:val="17"/>
        </w:rPr>
        <w:t>do edital ou do aviso de contratação direta, poderá:</w:t>
      </w:r>
    </w:p>
    <w:p w14:paraId="190A2864">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6.11.1 Convocar para negociação os demais licitantes ou fornecedores remanescentes cujos preços foram registrados sem redução, observada a ordem de classificação, com vistas à obtenção de preço melhor, mesmo que acima do preço do adjudicatário; ou</w:t>
      </w:r>
    </w:p>
    <w:p w14:paraId="150B1986">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6.11.2 Adjudicar e firmar o contrato nas condições ofertadas pelos licitantes ou fornecedores remanescentes, atendida a ordem classificatória, quando frustrada a negociação de melhor condição.</w:t>
      </w:r>
    </w:p>
    <w:p w14:paraId="5C3A85A9">
      <w:pPr>
        <w:spacing w:line="240" w:lineRule="auto"/>
        <w:jc w:val="both"/>
        <w:rPr>
          <w:rFonts w:hint="default" w:ascii="Arial" w:hAnsi="Arial" w:cs="Arial"/>
          <w:b/>
          <w:bCs/>
          <w:sz w:val="17"/>
          <w:szCs w:val="17"/>
        </w:rPr>
      </w:pPr>
    </w:p>
    <w:p w14:paraId="1C94E0B0">
      <w:pPr>
        <w:spacing w:line="240" w:lineRule="auto"/>
        <w:jc w:val="both"/>
        <w:rPr>
          <w:rFonts w:hint="default" w:ascii="Arial" w:hAnsi="Arial" w:cs="Arial"/>
          <w:b/>
          <w:bCs/>
          <w:sz w:val="17"/>
          <w:szCs w:val="17"/>
        </w:rPr>
      </w:pPr>
      <w:r>
        <w:rPr>
          <w:rFonts w:hint="default" w:ascii="Arial" w:hAnsi="Arial" w:cs="Arial"/>
          <w:b/>
          <w:bCs/>
          <w:sz w:val="17"/>
          <w:szCs w:val="17"/>
        </w:rPr>
        <w:t>CLÁUSULA SÉTIMA - DO PAGAMENTO E DA DOTAÇÃO ORÇAMENTÁRIA:</w:t>
      </w:r>
    </w:p>
    <w:p w14:paraId="1AAA4D0B">
      <w:pPr>
        <w:pageBreakBefore w:val="0"/>
        <w:widowControl/>
        <w:kinsoku/>
        <w:wordWrap/>
        <w:overflowPunct/>
        <w:topLinePunct w:val="0"/>
        <w:autoSpaceDE/>
        <w:autoSpaceDN/>
        <w:bidi w:val="0"/>
        <w:adjustRightInd/>
        <w:snapToGrid/>
        <w:spacing w:line="240" w:lineRule="auto"/>
        <w:jc w:val="both"/>
        <w:textAlignment w:val="auto"/>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 xml:space="preserve">7.1 A dotação orçamentária destintada ao pagamento do objeto licitado </w:t>
      </w:r>
      <w:r>
        <w:rPr>
          <w:rFonts w:hint="default" w:ascii="Arial" w:hAnsi="Arial" w:cs="Arial"/>
          <w:b w:val="0"/>
          <w:bCs/>
          <w:color w:val="000000" w:themeColor="text1"/>
          <w:sz w:val="17"/>
          <w:szCs w:val="17"/>
          <w:lang w:val="pt-BR"/>
          <w14:textFill>
            <w14:solidFill>
              <w14:schemeClr w14:val="tx1"/>
            </w14:solidFill>
          </w14:textFill>
        </w:rPr>
        <w:t>será</w:t>
      </w:r>
      <w:r>
        <w:rPr>
          <w:rFonts w:hint="default" w:ascii="Arial" w:hAnsi="Arial" w:cs="Arial"/>
          <w:b w:val="0"/>
          <w:bCs/>
          <w:color w:val="000000" w:themeColor="text1"/>
          <w:sz w:val="17"/>
          <w:szCs w:val="17"/>
          <w14:textFill>
            <w14:solidFill>
              <w14:schemeClr w14:val="tx1"/>
            </w14:solidFill>
          </w14:textFill>
        </w:rPr>
        <w:t xml:space="preserve"> prevista e indicada </w:t>
      </w:r>
      <w:r>
        <w:rPr>
          <w:rFonts w:hint="default" w:ascii="Arial" w:hAnsi="Arial" w:cs="Arial"/>
          <w:b w:val="0"/>
          <w:bCs/>
          <w:color w:val="000000" w:themeColor="text1"/>
          <w:sz w:val="17"/>
          <w:szCs w:val="17"/>
          <w:lang w:val="pt-BR"/>
          <w14:textFill>
            <w14:solidFill>
              <w14:schemeClr w14:val="tx1"/>
            </w14:solidFill>
          </w14:textFill>
        </w:rPr>
        <w:t xml:space="preserve">na autorização de fornecimento, </w:t>
      </w:r>
      <w:r>
        <w:rPr>
          <w:rFonts w:hint="default" w:ascii="Arial" w:hAnsi="Arial" w:cs="Arial"/>
          <w:b w:val="0"/>
          <w:bCs/>
          <w:color w:val="000000" w:themeColor="text1"/>
          <w:sz w:val="17"/>
          <w:szCs w:val="17"/>
          <w:lang w:val="pt-BR"/>
          <w14:textFill>
            <w14:solidFill>
              <w14:schemeClr w14:val="tx1"/>
            </w14:solidFill>
          </w14:textFill>
        </w:rPr>
        <w:t>nota de empenho ou futuro contrato</w:t>
      </w:r>
      <w:r>
        <w:rPr>
          <w:rFonts w:hint="default" w:ascii="Arial" w:hAnsi="Arial" w:cs="Arial"/>
          <w:b w:val="0"/>
          <w:bCs/>
          <w:color w:val="000000" w:themeColor="text1"/>
          <w:sz w:val="17"/>
          <w:szCs w:val="17"/>
          <w14:textFill>
            <w14:solidFill>
              <w14:schemeClr w14:val="tx1"/>
            </w14:solidFill>
          </w14:textFill>
        </w:rPr>
        <w:t xml:space="preserve"> pela área competente da Prefeitura Municipal de Cataguases, sob o número: </w:t>
      </w:r>
    </w:p>
    <w:p w14:paraId="1FDFB604">
      <w:pPr>
        <w:pStyle w:val="278"/>
        <w:pageBreakBefore w:val="0"/>
        <w:widowControl/>
        <w:numPr>
          <w:ilvl w:val="0"/>
          <w:numId w:val="0"/>
        </w:numPr>
        <w:kinsoku/>
        <w:wordWrap/>
        <w:overflowPunct/>
        <w:topLinePunct w:val="0"/>
        <w:autoSpaceDE/>
        <w:autoSpaceDN/>
        <w:bidi w:val="0"/>
        <w:adjustRightInd/>
        <w:snapToGrid/>
        <w:spacing w:before="0" w:line="240" w:lineRule="auto"/>
        <w:ind w:left="0" w:leftChars="0" w:firstLine="0" w:firstLineChars="0"/>
        <w:textAlignment w:val="auto"/>
        <w:rPr>
          <w:rFonts w:hint="default" w:ascii="Arial" w:hAnsi="Arial" w:cs="Arial"/>
          <w:b w:val="0"/>
          <w:bCs w:val="0"/>
          <w:sz w:val="17"/>
          <w:szCs w:val="17"/>
        </w:rPr>
      </w:pPr>
      <w:r>
        <w:rPr>
          <w:rFonts w:hint="default" w:ascii="Arial" w:hAnsi="Arial" w:cs="Arial"/>
          <w:b w:val="0"/>
          <w:bCs w:val="0"/>
          <w:sz w:val="17"/>
          <w:szCs w:val="17"/>
        </w:rPr>
        <w:t>CENTROS DE CUSTOS</w:t>
      </w:r>
      <w:r>
        <w:rPr>
          <w:rFonts w:hint="default" w:ascii="Arial" w:hAnsi="Arial" w:cs="Arial"/>
          <w:b w:val="0"/>
          <w:bCs w:val="0"/>
          <w:sz w:val="17"/>
          <w:szCs w:val="17"/>
          <w:lang w:val="pt-BR"/>
        </w:rPr>
        <w:t xml:space="preserve"> </w:t>
      </w:r>
      <w:r>
        <w:rPr>
          <w:rFonts w:hint="default" w:ascii="Arial" w:hAnsi="Arial" w:cs="Arial"/>
          <w:b w:val="0"/>
          <w:bCs w:val="0"/>
          <w:sz w:val="17"/>
          <w:szCs w:val="17"/>
        </w:rPr>
        <w:t>02.</w:t>
      </w:r>
      <w:r>
        <w:rPr>
          <w:rFonts w:hint="default" w:ascii="Arial" w:hAnsi="Arial" w:cs="Arial"/>
          <w:b w:val="0"/>
          <w:bCs w:val="0"/>
          <w:sz w:val="17"/>
          <w:szCs w:val="17"/>
          <w:lang w:val="pt-BR"/>
        </w:rPr>
        <w:t>0</w:t>
      </w:r>
      <w:r>
        <w:rPr>
          <w:rFonts w:hint="default" w:ascii="Arial" w:hAnsi="Arial" w:cs="Arial"/>
          <w:b w:val="0"/>
          <w:bCs w:val="0"/>
          <w:sz w:val="17"/>
          <w:szCs w:val="17"/>
        </w:rPr>
        <w:t xml:space="preserve">08 – Secretaria de Saúde </w:t>
      </w:r>
    </w:p>
    <w:p w14:paraId="4497E2A1">
      <w:pPr>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sz w:val="17"/>
          <w:szCs w:val="17"/>
        </w:rPr>
      </w:pPr>
      <w:r>
        <w:rPr>
          <w:rFonts w:hint="default" w:ascii="Arial" w:hAnsi="Arial" w:cs="Arial"/>
          <w:sz w:val="17"/>
          <w:szCs w:val="17"/>
        </w:rPr>
        <w:t xml:space="preserve">10.122.0000.0.008 – Cumprimento de Sentenças Judiciais na Área da Saúde. </w:t>
      </w:r>
    </w:p>
    <w:p w14:paraId="565C76E6">
      <w:pPr>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sz w:val="17"/>
          <w:szCs w:val="17"/>
        </w:rPr>
      </w:pPr>
      <w:r>
        <w:rPr>
          <w:rFonts w:hint="default" w:ascii="Arial" w:hAnsi="Arial" w:cs="Arial"/>
          <w:sz w:val="17"/>
          <w:szCs w:val="17"/>
        </w:rPr>
        <w:t>3.3.90.91.00.00.00.00 – Sentenças Judiciais (Ficha 324)</w:t>
      </w:r>
    </w:p>
    <w:p w14:paraId="57548210">
      <w:pPr>
        <w:pageBreakBefore w:val="0"/>
        <w:widowControl/>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Arial" w:hAnsi="Arial" w:cs="Arial"/>
          <w:sz w:val="17"/>
          <w:szCs w:val="17"/>
          <w:lang w:val="pt-BR"/>
        </w:rPr>
      </w:pPr>
      <w:r>
        <w:rPr>
          <w:rFonts w:hint="default" w:ascii="Arial" w:hAnsi="Arial" w:cs="Arial"/>
          <w:sz w:val="17"/>
          <w:szCs w:val="17"/>
          <w:lang w:val="pt-BR"/>
        </w:rPr>
        <w:t>1.500.000.1002.000 - Recursos não vinculados de impostos</w:t>
      </w:r>
    </w:p>
    <w:p w14:paraId="0EBFA460">
      <w:pPr>
        <w:pageBreakBefore w:val="0"/>
        <w:widowControl/>
        <w:kinsoku/>
        <w:wordWrap/>
        <w:overflowPunct/>
        <w:topLinePunct w:val="0"/>
        <w:autoSpaceDE/>
        <w:autoSpaceDN/>
        <w:bidi w:val="0"/>
        <w:adjustRightInd/>
        <w:snapToGrid/>
        <w:spacing w:line="240" w:lineRule="auto"/>
        <w:jc w:val="both"/>
        <w:textAlignment w:val="auto"/>
        <w:rPr>
          <w:rFonts w:hint="default" w:ascii="Arial" w:hAnsi="Arial" w:cs="Arial"/>
          <w:b w:val="0"/>
          <w:bCs/>
          <w:sz w:val="17"/>
          <w:szCs w:val="17"/>
        </w:rPr>
      </w:pPr>
      <w:r>
        <w:rPr>
          <w:rFonts w:hint="default" w:ascii="Arial" w:hAnsi="Arial" w:cs="Arial"/>
          <w:b w:val="0"/>
          <w:bCs/>
          <w:sz w:val="17"/>
          <w:szCs w:val="17"/>
        </w:rPr>
        <w:t>7.2 – O pagamento decorrente da concretização desta licitação s</w:t>
      </w:r>
      <w:r>
        <w:rPr>
          <w:rFonts w:hint="default" w:ascii="Arial" w:hAnsi="Arial" w:cs="Arial"/>
          <w:b w:val="0"/>
          <w:bCs/>
          <w:sz w:val="17"/>
          <w:szCs w:val="17"/>
        </w:rPr>
        <w:t>erá efetuado pelo Setor Financeiro da Prefeitura Municipal de Cataguases por processo legal, no prazo de 30 (trinta) dias corridos após a apresentação da Nota Fiscal, mediante a apresentação da regularidade fiscal junto ao INSS FGTS, RECEITA FEDERAL, ESTADUAL E MUNICIPAL.</w:t>
      </w:r>
    </w:p>
    <w:p w14:paraId="1882FDCD">
      <w:pPr>
        <w:pStyle w:val="220"/>
        <w:keepLines w:val="0"/>
        <w:pageBreakBefore w:val="0"/>
        <w:kinsoku/>
        <w:wordWrap/>
        <w:overflowPunct/>
        <w:topLinePunct w:val="0"/>
        <w:bidi w:val="0"/>
        <w:adjustRightInd/>
        <w:snapToGrid/>
        <w:spacing w:line="240" w:lineRule="auto"/>
        <w:ind w:left="0"/>
        <w:jc w:val="both"/>
        <w:textAlignment w:val="auto"/>
        <w:rPr>
          <w:rFonts w:hint="default" w:ascii="Arial" w:hAnsi="Arial" w:cs="Arial"/>
          <w:b w:val="0"/>
          <w:bCs/>
          <w:sz w:val="17"/>
          <w:szCs w:val="17"/>
          <w:u w:val="none"/>
          <w:shd w:val="clear" w:color="auto" w:fill="auto"/>
          <w:lang w:val="pt-BR"/>
        </w:rPr>
      </w:pPr>
      <w:r>
        <w:rPr>
          <w:rFonts w:hint="default" w:ascii="Arial" w:hAnsi="Arial" w:cs="Arial"/>
          <w:b w:val="0"/>
          <w:bCs/>
          <w:sz w:val="17"/>
          <w:szCs w:val="17"/>
          <w:u w:val="none"/>
          <w:shd w:val="clear" w:color="auto" w:fill="auto"/>
          <w:lang w:val="pt-BR"/>
        </w:rPr>
        <w:t>7.2.1 A empresa fica desobrigada a apresentar os documentos acima, desde que as certidões estejam válidas no SICAF, onde o contratante poderá consultar.</w:t>
      </w:r>
    </w:p>
    <w:p w14:paraId="3E60FC46">
      <w:pPr>
        <w:pStyle w:val="303"/>
        <w:keepNext w:val="0"/>
        <w:keepLines w:val="0"/>
        <w:pageBreakBefore w:val="0"/>
        <w:widowControl w:val="0"/>
        <w:numPr>
          <w:ilvl w:val="1"/>
          <w:numId w:val="0"/>
        </w:numPr>
        <w:kinsoku/>
        <w:wordWrap/>
        <w:overflowPunct/>
        <w:topLinePunct w:val="0"/>
        <w:autoSpaceDE w:val="0"/>
        <w:autoSpaceDN w:val="0"/>
        <w:bidi w:val="0"/>
        <w:snapToGrid/>
        <w:spacing w:before="0" w:after="0" w:line="240" w:lineRule="auto"/>
        <w:ind w:leftChars="0"/>
        <w:jc w:val="both"/>
        <w:textAlignment w:val="auto"/>
        <w:rPr>
          <w:rFonts w:hint="default" w:ascii="Arial" w:hAnsi="Arial" w:cs="Arial"/>
          <w:b w:val="0"/>
          <w:bCs/>
          <w:sz w:val="17"/>
          <w:szCs w:val="17"/>
        </w:rPr>
      </w:pPr>
      <w:r>
        <w:rPr>
          <w:rFonts w:hint="default" w:ascii="Arial" w:hAnsi="Arial" w:cs="Arial"/>
          <w:b w:val="0"/>
          <w:bCs/>
          <w:sz w:val="17"/>
          <w:szCs w:val="17"/>
          <w:u w:val="none"/>
          <w:lang w:val="pt-BR"/>
        </w:rPr>
        <w:t xml:space="preserve">7.2.2 </w:t>
      </w:r>
      <w:r>
        <w:rPr>
          <w:rFonts w:hint="default" w:ascii="Arial" w:hAnsi="Arial" w:cs="Arial"/>
          <w:b w:val="0"/>
          <w:bCs/>
          <w:sz w:val="17"/>
          <w:szCs w:val="17"/>
          <w:u w:val="no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b w:val="0"/>
          <w:bCs/>
          <w:sz w:val="17"/>
          <w:szCs w:val="17"/>
          <w:u w:val="none"/>
        </w:rPr>
        <w:fldChar w:fldCharType="begin"/>
      </w:r>
      <w:r>
        <w:rPr>
          <w:rFonts w:hint="default" w:ascii="Arial" w:hAnsi="Arial" w:cs="Arial"/>
          <w:b w:val="0"/>
          <w:bCs/>
          <w:sz w:val="17"/>
          <w:szCs w:val="17"/>
          <w:u w:val="none"/>
        </w:rPr>
        <w:instrText xml:space="preserve"> HYPERLINK "https://www.gov.br/compras/pt-br/acesso-a-informacao/legislacao/instrucoes-normativas/instrucao-normativa-no-3-de-26-de-abril-de-2018" </w:instrText>
      </w:r>
      <w:r>
        <w:rPr>
          <w:rFonts w:hint="default" w:ascii="Arial" w:hAnsi="Arial" w:cs="Arial"/>
          <w:b w:val="0"/>
          <w:bCs/>
          <w:sz w:val="17"/>
          <w:szCs w:val="17"/>
          <w:u w:val="none"/>
        </w:rPr>
        <w:fldChar w:fldCharType="separate"/>
      </w:r>
      <w:r>
        <w:rPr>
          <w:rStyle w:val="324"/>
          <w:rFonts w:hint="default" w:ascii="Arial" w:hAnsi="Arial" w:cs="Arial"/>
          <w:b w:val="0"/>
          <w:bCs/>
          <w:sz w:val="17"/>
          <w:szCs w:val="17"/>
          <w:u w:val="none"/>
        </w:rPr>
        <w:t xml:space="preserve">IN nº 3/2018, art. 7º, </w:t>
      </w:r>
      <w:r>
        <w:rPr>
          <w:rStyle w:val="324"/>
          <w:rFonts w:hint="default" w:ascii="Arial" w:hAnsi="Arial" w:cs="Arial"/>
          <w:b w:val="0"/>
          <w:bCs/>
          <w:i/>
          <w:iCs/>
          <w:sz w:val="17"/>
          <w:szCs w:val="17"/>
          <w:u w:val="none"/>
        </w:rPr>
        <w:t>caput</w:t>
      </w:r>
      <w:r>
        <w:rPr>
          <w:rStyle w:val="324"/>
          <w:rFonts w:hint="default" w:ascii="Arial" w:hAnsi="Arial" w:cs="Arial"/>
          <w:b w:val="0"/>
          <w:bCs/>
          <w:i/>
          <w:iCs/>
          <w:sz w:val="17"/>
          <w:szCs w:val="17"/>
          <w:u w:val="none"/>
        </w:rPr>
        <w:fldChar w:fldCharType="end"/>
      </w:r>
      <w:r>
        <w:rPr>
          <w:rFonts w:hint="default" w:ascii="Arial" w:hAnsi="Arial" w:cs="Arial"/>
          <w:b w:val="0"/>
          <w:bCs/>
          <w:sz w:val="17"/>
          <w:szCs w:val="17"/>
          <w:u w:val="none"/>
        </w:rPr>
        <w:t>).</w:t>
      </w:r>
    </w:p>
    <w:p w14:paraId="17E00F3D">
      <w:pPr>
        <w:spacing w:line="240" w:lineRule="auto"/>
        <w:jc w:val="both"/>
        <w:rPr>
          <w:rFonts w:hint="default" w:ascii="Arial" w:hAnsi="Arial" w:cs="Arial"/>
          <w:b w:val="0"/>
          <w:bCs/>
          <w:sz w:val="17"/>
          <w:szCs w:val="17"/>
        </w:rPr>
      </w:pPr>
      <w:r>
        <w:rPr>
          <w:rFonts w:hint="default" w:ascii="Arial" w:hAnsi="Arial" w:cs="Arial"/>
          <w:b w:val="0"/>
          <w:bCs/>
          <w:sz w:val="17"/>
          <w:szCs w:val="17"/>
        </w:rPr>
        <w:t>7.3 – Averiguada qualquer anormalidade, será emitido um termo de não recebimento, devendo nesta hipótese a contratada tomar às devidas providências necessárias visando à adequação de rigor, sem quaisquer ônus a Administração contratante ficando o recebimento definitivo e respectivo pagamento condicionado a efetiva adequação pertinente.</w:t>
      </w:r>
    </w:p>
    <w:p w14:paraId="4E19FA15">
      <w:pPr>
        <w:spacing w:line="240" w:lineRule="auto"/>
        <w:jc w:val="both"/>
        <w:rPr>
          <w:rFonts w:hint="default" w:ascii="Arial" w:hAnsi="Arial" w:cs="Arial"/>
          <w:b w:val="0"/>
          <w:bCs/>
          <w:sz w:val="17"/>
          <w:szCs w:val="17"/>
        </w:rPr>
      </w:pPr>
      <w:r>
        <w:rPr>
          <w:rFonts w:hint="default" w:ascii="Arial" w:hAnsi="Arial" w:cs="Arial"/>
          <w:b w:val="0"/>
          <w:bCs/>
          <w:sz w:val="17"/>
          <w:szCs w:val="17"/>
        </w:rPr>
        <w:t>7.4 Quando for constatada qualquer irregularidade na Nota Fiscal/Fatura, será imediatamente solicitada à empresa adjudicatária carta de correção quando couber, ou ainda pertinente regularização, que deverá ser encaminhada no prazo de 2 (dois) dias úteis;</w:t>
      </w:r>
    </w:p>
    <w:p w14:paraId="7450998D">
      <w:pPr>
        <w:spacing w:line="240" w:lineRule="auto"/>
        <w:jc w:val="both"/>
        <w:rPr>
          <w:rFonts w:hint="default" w:ascii="Arial" w:hAnsi="Arial" w:cs="Arial"/>
          <w:b w:val="0"/>
          <w:bCs/>
          <w:sz w:val="17"/>
          <w:szCs w:val="17"/>
        </w:rPr>
      </w:pPr>
      <w:r>
        <w:rPr>
          <w:rFonts w:hint="default" w:ascii="Arial" w:hAnsi="Arial" w:cs="Arial"/>
          <w:b w:val="0"/>
          <w:bCs/>
          <w:sz w:val="17"/>
          <w:szCs w:val="17"/>
        </w:rPr>
        <w:t>7.5 Caso a contratada não apresente carta de correção no prazo estipulado, o prazo para pagamento será recontado, a partir da data da sua apresentação.</w:t>
      </w:r>
    </w:p>
    <w:p w14:paraId="6A87FA93">
      <w:pPr>
        <w:spacing w:line="240" w:lineRule="auto"/>
        <w:jc w:val="both"/>
        <w:rPr>
          <w:rFonts w:hint="default" w:ascii="Arial" w:hAnsi="Arial" w:cs="Arial"/>
          <w:b w:val="0"/>
          <w:bCs/>
          <w:sz w:val="17"/>
          <w:szCs w:val="17"/>
        </w:rPr>
      </w:pPr>
      <w:r>
        <w:rPr>
          <w:rFonts w:hint="default" w:ascii="Arial" w:hAnsi="Arial" w:cs="Arial"/>
          <w:b w:val="0"/>
          <w:bCs/>
          <w:color w:val="000000"/>
          <w:sz w:val="17"/>
          <w:szCs w:val="17"/>
        </w:rPr>
        <w:t>7.6 Atender as exigências conforme Decreto 5.811/2023</w:t>
      </w:r>
    </w:p>
    <w:p w14:paraId="4BF6153F">
      <w:pPr>
        <w:spacing w:line="240" w:lineRule="auto"/>
        <w:jc w:val="both"/>
        <w:rPr>
          <w:rFonts w:hint="default" w:ascii="Arial" w:hAnsi="Arial" w:cs="Arial"/>
          <w:sz w:val="17"/>
          <w:szCs w:val="17"/>
        </w:rPr>
      </w:pPr>
    </w:p>
    <w:p w14:paraId="01283C7C">
      <w:pPr>
        <w:spacing w:line="240" w:lineRule="auto"/>
        <w:jc w:val="both"/>
        <w:rPr>
          <w:rFonts w:hint="default" w:ascii="Arial" w:hAnsi="Arial" w:cs="Arial"/>
          <w:b/>
          <w:bCs/>
          <w:sz w:val="17"/>
          <w:szCs w:val="17"/>
        </w:rPr>
      </w:pPr>
      <w:r>
        <w:rPr>
          <w:rFonts w:hint="default" w:ascii="Arial" w:hAnsi="Arial" w:cs="Arial"/>
          <w:b/>
          <w:bCs/>
          <w:sz w:val="17"/>
          <w:szCs w:val="17"/>
        </w:rPr>
        <w:t>CLÁUSULA OITAVA –NEGOCIAÇÃO DE PREÇOS REGISTRADOS</w:t>
      </w:r>
    </w:p>
    <w:p w14:paraId="2C36FFFC">
      <w:pPr>
        <w:pStyle w:val="303"/>
        <w:numPr>
          <w:ilvl w:val="1"/>
          <w:numId w:val="29"/>
        </w:numPr>
        <w:tabs>
          <w:tab w:val="left" w:pos="567"/>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Na hipótese de o preço registrado tornar-se superior ao preço pra</w:t>
      </w:r>
      <w:r>
        <w:rPr>
          <w:rFonts w:hint="default" w:ascii="Arial" w:hAnsi="Arial" w:eastAsia="Calibri" w:cs="Arial"/>
          <w:sz w:val="17"/>
          <w:szCs w:val="17"/>
        </w:rPr>
        <w:t>ti</w:t>
      </w:r>
      <w:r>
        <w:rPr>
          <w:rFonts w:hint="default" w:ascii="Arial" w:hAnsi="Arial" w:cs="Arial"/>
          <w:sz w:val="17"/>
          <w:szCs w:val="17"/>
        </w:rPr>
        <w:t>cado no mercado por mo</w:t>
      </w:r>
      <w:r>
        <w:rPr>
          <w:rFonts w:hint="default" w:ascii="Arial" w:hAnsi="Arial" w:eastAsia="Calibri" w:cs="Arial"/>
          <w:sz w:val="17"/>
          <w:szCs w:val="17"/>
        </w:rPr>
        <w:t>ti</w:t>
      </w:r>
      <w:r>
        <w:rPr>
          <w:rFonts w:hint="default" w:ascii="Arial" w:hAnsi="Arial" w:cs="Arial"/>
          <w:sz w:val="17"/>
          <w:szCs w:val="17"/>
        </w:rPr>
        <w:t>vo superveniente, o órgão ou en</w:t>
      </w:r>
      <w:r>
        <w:rPr>
          <w:rFonts w:hint="default" w:ascii="Arial" w:hAnsi="Arial" w:eastAsia="Calibri" w:cs="Arial"/>
          <w:sz w:val="17"/>
          <w:szCs w:val="17"/>
        </w:rPr>
        <w:t>ti</w:t>
      </w:r>
      <w:r>
        <w:rPr>
          <w:rFonts w:hint="default" w:ascii="Arial" w:hAnsi="Arial" w:cs="Arial"/>
          <w:sz w:val="17"/>
          <w:szCs w:val="17"/>
        </w:rPr>
        <w:t>dade gerenciadora convocará o fornecedor para negociar a redução do preço registrado.</w:t>
      </w:r>
    </w:p>
    <w:p w14:paraId="22FB669C">
      <w:pPr>
        <w:pStyle w:val="316"/>
        <w:numPr>
          <w:ilvl w:val="2"/>
          <w:numId w:val="29"/>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Caso não aceite reduzir seu preço aos valores pra</w:t>
      </w:r>
      <w:r>
        <w:rPr>
          <w:rFonts w:hint="default" w:ascii="Arial" w:hAnsi="Arial" w:eastAsia="Calibri" w:cs="Arial"/>
          <w:sz w:val="17"/>
          <w:szCs w:val="17"/>
        </w:rPr>
        <w:t>ti</w:t>
      </w:r>
      <w:r>
        <w:rPr>
          <w:rFonts w:hint="default" w:ascii="Arial" w:hAnsi="Arial" w:cs="Arial"/>
          <w:sz w:val="17"/>
          <w:szCs w:val="17"/>
        </w:rPr>
        <w:t>cados pelo mercado, o fornecedor será liberado do compromisso assumido quanto ao item registrado, sem aplicação de penalidades administrativas.</w:t>
      </w:r>
    </w:p>
    <w:p w14:paraId="4AE932AE">
      <w:pPr>
        <w:pStyle w:val="316"/>
        <w:numPr>
          <w:ilvl w:val="2"/>
          <w:numId w:val="29"/>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0BB75D9">
      <w:pPr>
        <w:pStyle w:val="316"/>
        <w:numPr>
          <w:ilvl w:val="2"/>
          <w:numId w:val="29"/>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Se não obtiver êxito nas negociações, o órgão ou en</w:t>
      </w:r>
      <w:r>
        <w:rPr>
          <w:rFonts w:hint="default" w:ascii="Arial" w:hAnsi="Arial" w:eastAsia="Calibri" w:cs="Arial"/>
          <w:sz w:val="17"/>
          <w:szCs w:val="17"/>
        </w:rPr>
        <w:t>tid</w:t>
      </w:r>
      <w:r>
        <w:rPr>
          <w:rFonts w:hint="default" w:ascii="Arial" w:hAnsi="Arial" w:cs="Arial"/>
          <w:sz w:val="17"/>
          <w:szCs w:val="17"/>
        </w:rPr>
        <w:t>ade gerenciadora procederá ao cancelamento da ata de registro de preços, adotando as medidas cabíveis para obtenção de contratação mais vantajosa.</w:t>
      </w:r>
      <w:bookmarkStart w:id="49" w:name="reducao_preco_mercado_negociacao_frustra"/>
      <w:bookmarkEnd w:id="49"/>
    </w:p>
    <w:p w14:paraId="5C41868D">
      <w:pPr>
        <w:pStyle w:val="316"/>
        <w:numPr>
          <w:ilvl w:val="2"/>
          <w:numId w:val="29"/>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Na hipótese de redução do preço registrado, o gerenciador comunicará aos órgãos e às en</w:t>
      </w:r>
      <w:r>
        <w:rPr>
          <w:rFonts w:hint="default" w:ascii="Arial" w:hAnsi="Arial" w:eastAsia="Calibri" w:cs="Arial"/>
          <w:sz w:val="17"/>
          <w:szCs w:val="17"/>
        </w:rPr>
        <w:t>ti</w:t>
      </w:r>
      <w:r>
        <w:rPr>
          <w:rFonts w:hint="default" w:ascii="Arial" w:hAnsi="Arial" w:cs="Arial"/>
          <w:sz w:val="17"/>
          <w:szCs w:val="17"/>
        </w:rPr>
        <w:t xml:space="preserve">dades que </w:t>
      </w:r>
      <w:r>
        <w:rPr>
          <w:rFonts w:hint="default" w:ascii="Arial" w:hAnsi="Arial" w:eastAsia="Calibri" w:cs="Arial"/>
          <w:sz w:val="17"/>
          <w:szCs w:val="17"/>
        </w:rPr>
        <w:t>ti</w:t>
      </w:r>
      <w:r>
        <w:rPr>
          <w:rFonts w:hint="default" w:ascii="Arial" w:hAnsi="Arial" w:cs="Arial"/>
          <w:sz w:val="17"/>
          <w:szCs w:val="17"/>
        </w:rPr>
        <w:t>verem firmado contratos decorrentes da ata de registro de preços para que avaliem a conveniência e a oportunidade de diligenciarem negociação com vistas à alteração contratual, observado o disposto no art. 124 da Lei nº 14.133, de 2021.</w:t>
      </w:r>
    </w:p>
    <w:p w14:paraId="7A0E19B0">
      <w:pPr>
        <w:pStyle w:val="303"/>
        <w:numPr>
          <w:ilvl w:val="1"/>
          <w:numId w:val="29"/>
        </w:numPr>
        <w:tabs>
          <w:tab w:val="left" w:pos="567"/>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0" w:name="hipotese_preco_mercado_maior"/>
      <w:bookmarkEnd w:id="50"/>
    </w:p>
    <w:p w14:paraId="7C1E634C">
      <w:pPr>
        <w:pStyle w:val="316"/>
        <w:numPr>
          <w:ilvl w:val="2"/>
          <w:numId w:val="29"/>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Neste caso, o fornecedor encaminhará, juntamente com o pedido de alteração, a documentação comprobatória ou a planilha de custos que demonstre a inviabilidade do preço registrado em relação às condições inicialmente pactuadas.</w:t>
      </w:r>
      <w:bookmarkStart w:id="51" w:name="prova_preco_mercado_maior"/>
      <w:bookmarkEnd w:id="51"/>
    </w:p>
    <w:p w14:paraId="3B493554">
      <w:pPr>
        <w:pStyle w:val="316"/>
        <w:numPr>
          <w:ilvl w:val="2"/>
          <w:numId w:val="29"/>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Não hipótese de não comprovação da existência de fato superveniente que inviabilize o preço registrado, o pedido será indeferido pelo órgão ou en</w:t>
      </w:r>
      <w:r>
        <w:rPr>
          <w:rFonts w:hint="default" w:ascii="Arial" w:hAnsi="Arial" w:eastAsia="Calibri" w:cs="Arial"/>
          <w:sz w:val="17"/>
          <w:szCs w:val="17"/>
        </w:rPr>
        <w:t>ti</w:t>
      </w:r>
      <w:r>
        <w:rPr>
          <w:rFonts w:hint="default" w:ascii="Arial" w:hAnsi="Arial" w:cs="Arial"/>
          <w:sz w:val="17"/>
          <w:szCs w:val="17"/>
        </w:rPr>
        <w:t xml:space="preserve">dade gerenciadora e o fornecedor deverá cumprir as obrigações estabelecidas na ata, sob pena de cancelamento do seu registro, nos termos do item </w:t>
      </w:r>
      <w:r>
        <w:rPr>
          <w:rFonts w:hint="default" w:ascii="Arial" w:hAnsi="Arial" w:cs="Arial"/>
          <w:sz w:val="17"/>
          <w:szCs w:val="17"/>
        </w:rPr>
        <w:fldChar w:fldCharType="begin"/>
      </w:r>
      <w:r>
        <w:rPr>
          <w:rFonts w:hint="default" w:ascii="Arial" w:hAnsi="Arial" w:cs="Arial"/>
          <w:sz w:val="17"/>
          <w:szCs w:val="17"/>
        </w:rPr>
        <w:instrText xml:space="preserve"> REF cancelamento_do_fornecedor \r \h  \* MERGEFORMAT </w:instrText>
      </w:r>
      <w:r>
        <w:rPr>
          <w:rFonts w:hint="default" w:ascii="Arial" w:hAnsi="Arial" w:cs="Arial"/>
          <w:sz w:val="17"/>
          <w:szCs w:val="17"/>
        </w:rPr>
        <w:fldChar w:fldCharType="separate"/>
      </w:r>
      <w:r>
        <w:rPr>
          <w:rFonts w:hint="default" w:ascii="Arial" w:hAnsi="Arial" w:cs="Arial"/>
          <w:sz w:val="17"/>
          <w:szCs w:val="17"/>
        </w:rPr>
        <w:t>9.1</w:t>
      </w:r>
      <w:r>
        <w:rPr>
          <w:rFonts w:hint="default" w:ascii="Arial" w:hAnsi="Arial" w:cs="Arial"/>
          <w:sz w:val="17"/>
          <w:szCs w:val="17"/>
        </w:rPr>
        <w:fldChar w:fldCharType="end"/>
      </w:r>
      <w:r>
        <w:rPr>
          <w:rFonts w:hint="default" w:ascii="Arial" w:hAnsi="Arial" w:cs="Arial"/>
          <w:sz w:val="17"/>
          <w:szCs w:val="17"/>
        </w:rPr>
        <w:t>, sem prejuízo das sanções previstas na Lei nº 14.133, de 2021, e na legislação aplicável.</w:t>
      </w:r>
      <w:bookmarkStart w:id="52" w:name="nao_comprovacao_majoracao_mercado"/>
      <w:bookmarkEnd w:id="52"/>
    </w:p>
    <w:p w14:paraId="41C1948C">
      <w:pPr>
        <w:pStyle w:val="316"/>
        <w:numPr>
          <w:ilvl w:val="2"/>
          <w:numId w:val="29"/>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Na hipótese de cancelamento do registro do fornecedor, nos termos do item anterior, o gerenciador convocará os fornecedores do cadastro de reserva, na ordem de classificação, para verificar se aceitam manter seus preços registrados</w:t>
      </w:r>
      <w:r>
        <w:rPr>
          <w:rFonts w:hint="default" w:ascii="Arial" w:hAnsi="Arial" w:cs="Arial"/>
          <w:sz w:val="17"/>
          <w:szCs w:val="17"/>
          <w:lang w:val="pt-BR"/>
        </w:rPr>
        <w:t>.</w:t>
      </w:r>
    </w:p>
    <w:p w14:paraId="090D3E2D">
      <w:pPr>
        <w:pStyle w:val="316"/>
        <w:numPr>
          <w:ilvl w:val="2"/>
          <w:numId w:val="29"/>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 xml:space="preserve">Se não obtiver êxito nas negociações, o órgão ou entidade gerenciadora procederá ao cancelamento da ata de registro de preços, nos termos do item </w:t>
      </w:r>
      <w:r>
        <w:rPr>
          <w:rFonts w:hint="default" w:ascii="Arial" w:hAnsi="Arial" w:cs="Arial"/>
          <w:sz w:val="17"/>
          <w:szCs w:val="17"/>
        </w:rPr>
        <w:fldChar w:fldCharType="begin"/>
      </w:r>
      <w:r>
        <w:rPr>
          <w:rFonts w:hint="default" w:ascii="Arial" w:hAnsi="Arial" w:cs="Arial"/>
          <w:sz w:val="17"/>
          <w:szCs w:val="17"/>
        </w:rPr>
        <w:instrText xml:space="preserve"> REF cancelamento_da_ata \r \h  \* MERGEFORMAT </w:instrText>
      </w:r>
      <w:r>
        <w:rPr>
          <w:rFonts w:hint="default" w:ascii="Arial" w:hAnsi="Arial" w:cs="Arial"/>
          <w:sz w:val="17"/>
          <w:szCs w:val="17"/>
        </w:rPr>
        <w:fldChar w:fldCharType="separate"/>
      </w:r>
      <w:r>
        <w:rPr>
          <w:rFonts w:hint="default" w:ascii="Arial" w:hAnsi="Arial" w:cs="Arial"/>
          <w:sz w:val="17"/>
          <w:szCs w:val="17"/>
        </w:rPr>
        <w:t>9.4</w:t>
      </w:r>
      <w:r>
        <w:rPr>
          <w:rFonts w:hint="default" w:ascii="Arial" w:hAnsi="Arial" w:cs="Arial"/>
          <w:sz w:val="17"/>
          <w:szCs w:val="17"/>
        </w:rPr>
        <w:fldChar w:fldCharType="end"/>
      </w:r>
      <w:r>
        <w:rPr>
          <w:rFonts w:hint="default" w:ascii="Arial" w:hAnsi="Arial" w:cs="Arial"/>
          <w:sz w:val="17"/>
          <w:szCs w:val="17"/>
        </w:rPr>
        <w:t>, e adotará as medidas cabíveis para a obtenção da contratação mais vantajosa.</w:t>
      </w:r>
      <w:bookmarkStart w:id="53" w:name="majora_preco_mercado_negociacao_frustra"/>
      <w:bookmarkEnd w:id="53"/>
    </w:p>
    <w:p w14:paraId="45FE5BF2">
      <w:pPr>
        <w:pStyle w:val="316"/>
        <w:numPr>
          <w:ilvl w:val="2"/>
          <w:numId w:val="29"/>
        </w:numPr>
        <w:tabs>
          <w:tab w:val="left" w:pos="567"/>
        </w:tabs>
        <w:spacing w:before="0" w:after="0" w:line="240" w:lineRule="auto"/>
        <w:ind w:left="0" w:firstLine="0"/>
        <w:rPr>
          <w:rFonts w:hint="default" w:ascii="Arial" w:hAnsi="Arial" w:cs="Arial"/>
          <w:sz w:val="17"/>
          <w:szCs w:val="17"/>
        </w:rPr>
      </w:pPr>
      <w:r>
        <w:rPr>
          <w:rFonts w:hint="default" w:ascii="Arial" w:hAnsi="Arial" w:cs="Arial"/>
          <w:sz w:val="17"/>
          <w:szCs w:val="17"/>
        </w:rPr>
        <w:t xml:space="preserve">Na hipótese de comprovação da majoração do preço de mercado que inviabilize o preço registrado, conforme previsto no item </w:t>
      </w:r>
      <w:r>
        <w:rPr>
          <w:rFonts w:hint="default" w:ascii="Arial" w:hAnsi="Arial" w:cs="Arial"/>
          <w:sz w:val="17"/>
          <w:szCs w:val="17"/>
        </w:rPr>
        <w:fldChar w:fldCharType="begin"/>
      </w:r>
      <w:r>
        <w:rPr>
          <w:rFonts w:hint="default" w:ascii="Arial" w:hAnsi="Arial" w:cs="Arial"/>
          <w:sz w:val="17"/>
          <w:szCs w:val="17"/>
        </w:rPr>
        <w:instrText xml:space="preserve"> REF hipotese_preco_mercado_maior \r \h  \* MERGEFORMAT </w:instrText>
      </w:r>
      <w:r>
        <w:rPr>
          <w:rFonts w:hint="default" w:ascii="Arial" w:hAnsi="Arial" w:cs="Arial"/>
          <w:sz w:val="17"/>
          <w:szCs w:val="17"/>
        </w:rPr>
        <w:fldChar w:fldCharType="separate"/>
      </w:r>
      <w:r>
        <w:rPr>
          <w:rFonts w:hint="default" w:ascii="Arial" w:hAnsi="Arial" w:cs="Arial"/>
          <w:sz w:val="17"/>
          <w:szCs w:val="17"/>
        </w:rPr>
        <w:t>8.2</w:t>
      </w:r>
      <w:r>
        <w:rPr>
          <w:rFonts w:hint="default" w:ascii="Arial" w:hAnsi="Arial" w:cs="Arial"/>
          <w:sz w:val="17"/>
          <w:szCs w:val="17"/>
        </w:rPr>
        <w:fldChar w:fldCharType="end"/>
      </w:r>
      <w:r>
        <w:rPr>
          <w:rFonts w:hint="default" w:ascii="Arial" w:hAnsi="Arial" w:cs="Arial"/>
          <w:sz w:val="17"/>
          <w:szCs w:val="17"/>
        </w:rPr>
        <w:t xml:space="preserve"> e no item </w:t>
      </w:r>
      <w:r>
        <w:rPr>
          <w:rFonts w:hint="default" w:ascii="Arial" w:hAnsi="Arial" w:cs="Arial"/>
          <w:sz w:val="17"/>
          <w:szCs w:val="17"/>
        </w:rPr>
        <w:fldChar w:fldCharType="begin"/>
      </w:r>
      <w:r>
        <w:rPr>
          <w:rFonts w:hint="default" w:ascii="Arial" w:hAnsi="Arial" w:cs="Arial"/>
          <w:sz w:val="17"/>
          <w:szCs w:val="17"/>
        </w:rPr>
        <w:instrText xml:space="preserve"> REF prova_preco_mercado_maior \r \h  \* MERGEFORMAT </w:instrText>
      </w:r>
      <w:r>
        <w:rPr>
          <w:rFonts w:hint="default" w:ascii="Arial" w:hAnsi="Arial" w:cs="Arial"/>
          <w:sz w:val="17"/>
          <w:szCs w:val="17"/>
        </w:rPr>
        <w:fldChar w:fldCharType="separate"/>
      </w:r>
      <w:r>
        <w:rPr>
          <w:rFonts w:hint="default" w:ascii="Arial" w:hAnsi="Arial" w:cs="Arial"/>
          <w:sz w:val="17"/>
          <w:szCs w:val="17"/>
        </w:rPr>
        <w:t>8.2.1</w:t>
      </w:r>
      <w:r>
        <w:rPr>
          <w:rFonts w:hint="default" w:ascii="Arial" w:hAnsi="Arial" w:cs="Arial"/>
          <w:sz w:val="17"/>
          <w:szCs w:val="17"/>
        </w:rPr>
        <w:fldChar w:fldCharType="end"/>
      </w:r>
      <w:r>
        <w:rPr>
          <w:rFonts w:hint="default" w:ascii="Arial" w:hAnsi="Arial" w:cs="Arial"/>
          <w:sz w:val="17"/>
          <w:szCs w:val="17"/>
        </w:rPr>
        <w:t>, o órgão ou en</w:t>
      </w:r>
      <w:r>
        <w:rPr>
          <w:rFonts w:hint="default" w:ascii="Arial" w:hAnsi="Arial" w:eastAsia="Calibri" w:cs="Arial"/>
          <w:sz w:val="17"/>
          <w:szCs w:val="17"/>
        </w:rPr>
        <w:t>ti</w:t>
      </w:r>
      <w:r>
        <w:rPr>
          <w:rFonts w:hint="default" w:ascii="Arial" w:hAnsi="Arial" w:cs="Arial"/>
          <w:sz w:val="17"/>
          <w:szCs w:val="17"/>
        </w:rPr>
        <w:t>dade gerenciadora atualizará o preço registrado, de acordo com a realidade dos valores praticados pelo mercado.</w:t>
      </w:r>
    </w:p>
    <w:p w14:paraId="2E115053">
      <w:pPr>
        <w:tabs>
          <w:tab w:val="left" w:pos="567"/>
        </w:tabs>
        <w:spacing w:line="240" w:lineRule="auto"/>
        <w:rPr>
          <w:rFonts w:hint="default" w:ascii="Arial" w:hAnsi="Arial" w:cs="Arial"/>
          <w:sz w:val="17"/>
          <w:szCs w:val="17"/>
        </w:rPr>
      </w:pPr>
      <w:r>
        <w:rPr>
          <w:rFonts w:hint="default" w:ascii="Arial" w:hAnsi="Arial" w:cs="Arial"/>
          <w:b w:val="0"/>
          <w:bCs w:val="0"/>
          <w:sz w:val="17"/>
          <w:szCs w:val="17"/>
        </w:rPr>
        <w:t xml:space="preserve">8.2.6 </w:t>
      </w:r>
      <w:r>
        <w:rPr>
          <w:rFonts w:hint="default" w:ascii="Arial" w:hAnsi="Arial" w:cs="Arial"/>
          <w:sz w:val="17"/>
          <w:szCs w:val="17"/>
        </w:rPr>
        <w:t>O órgão ou en</w:t>
      </w:r>
      <w:r>
        <w:rPr>
          <w:rFonts w:hint="default" w:ascii="Arial" w:hAnsi="Arial" w:eastAsia="Calibri" w:cs="Arial"/>
          <w:sz w:val="17"/>
          <w:szCs w:val="17"/>
        </w:rPr>
        <w:t>ti</w:t>
      </w:r>
      <w:r>
        <w:rPr>
          <w:rFonts w:hint="default" w:ascii="Arial" w:hAnsi="Arial" w:cs="Arial"/>
          <w:sz w:val="17"/>
          <w:szCs w:val="17"/>
        </w:rPr>
        <w:t>dade gerenciadora comunicará aos órgãos e às en</w:t>
      </w:r>
      <w:r>
        <w:rPr>
          <w:rFonts w:hint="default" w:ascii="Arial" w:hAnsi="Arial" w:eastAsia="Calibri" w:cs="Arial"/>
          <w:sz w:val="17"/>
          <w:szCs w:val="17"/>
        </w:rPr>
        <w:t>ti</w:t>
      </w:r>
      <w:r>
        <w:rPr>
          <w:rFonts w:hint="default" w:ascii="Arial" w:hAnsi="Arial" w:cs="Arial"/>
          <w:sz w:val="17"/>
          <w:szCs w:val="17"/>
        </w:rPr>
        <w:t xml:space="preserve">dades que </w:t>
      </w:r>
      <w:r>
        <w:rPr>
          <w:rFonts w:hint="default" w:ascii="Arial" w:hAnsi="Arial" w:eastAsia="Calibri" w:cs="Arial"/>
          <w:sz w:val="17"/>
          <w:szCs w:val="17"/>
        </w:rPr>
        <w:t>ti</w:t>
      </w:r>
      <w:r>
        <w:rPr>
          <w:rFonts w:hint="default" w:ascii="Arial" w:hAnsi="Arial" w:cs="Arial"/>
          <w:sz w:val="17"/>
          <w:szCs w:val="17"/>
        </w:rPr>
        <w:t>verem firmado contratos decorrentes da ata de registro de preços sobre a efe</w:t>
      </w:r>
      <w:r>
        <w:rPr>
          <w:rFonts w:hint="default" w:ascii="Arial" w:hAnsi="Arial" w:eastAsia="Calibri" w:cs="Arial"/>
          <w:sz w:val="17"/>
          <w:szCs w:val="17"/>
        </w:rPr>
        <w:t>ti</w:t>
      </w:r>
      <w:r>
        <w:rPr>
          <w:rFonts w:hint="default" w:ascii="Arial" w:hAnsi="Arial" w:cs="Arial"/>
          <w:sz w:val="17"/>
          <w:szCs w:val="17"/>
        </w:rPr>
        <w:t xml:space="preserve">va alteração do preço registrado, para que avaliem a necessidade de alteração contratual, observado o disposto no art. 124 da Lei nº 14.133, de 2021 </w:t>
      </w:r>
    </w:p>
    <w:p w14:paraId="13DF4671">
      <w:pPr>
        <w:tabs>
          <w:tab w:val="left" w:pos="7526"/>
        </w:tabs>
        <w:spacing w:line="240" w:lineRule="auto"/>
        <w:jc w:val="both"/>
        <w:rPr>
          <w:rFonts w:hint="default" w:ascii="Arial" w:hAnsi="Arial" w:cs="Arial"/>
          <w:bCs/>
          <w:sz w:val="17"/>
          <w:szCs w:val="17"/>
        </w:rPr>
      </w:pPr>
    </w:p>
    <w:p w14:paraId="5CC1A12B">
      <w:pPr>
        <w:spacing w:line="240" w:lineRule="auto"/>
        <w:jc w:val="both"/>
        <w:rPr>
          <w:rFonts w:hint="default" w:ascii="Arial" w:hAnsi="Arial" w:cs="Arial"/>
          <w:b/>
          <w:bCs/>
          <w:sz w:val="17"/>
          <w:szCs w:val="17"/>
        </w:rPr>
      </w:pPr>
      <w:r>
        <w:rPr>
          <w:rFonts w:hint="default" w:ascii="Arial" w:hAnsi="Arial" w:cs="Arial"/>
          <w:b/>
          <w:bCs/>
          <w:sz w:val="17"/>
          <w:szCs w:val="17"/>
        </w:rPr>
        <w:t>CLÁUSULA NONA – CANCELAMENTO DO REGISTRO DO LICITANTE VENCEDOR E DOS PREÇOS REGISTRADOS</w:t>
      </w:r>
    </w:p>
    <w:p w14:paraId="695BE0E4">
      <w:pPr>
        <w:pStyle w:val="303"/>
        <w:numPr>
          <w:ilvl w:val="1"/>
          <w:numId w:val="30"/>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O registro do fornecedor será cancelado pelo gerenciador, quando o fornecedor:</w:t>
      </w:r>
      <w:bookmarkStart w:id="54" w:name="cancelamento_do_fornecedor"/>
      <w:bookmarkEnd w:id="54"/>
    </w:p>
    <w:p w14:paraId="73300CB6">
      <w:pPr>
        <w:pStyle w:val="220"/>
        <w:numPr>
          <w:ilvl w:val="0"/>
          <w:numId w:val="30"/>
        </w:numPr>
        <w:spacing w:line="240" w:lineRule="auto"/>
        <w:contextualSpacing w:val="0"/>
        <w:jc w:val="both"/>
        <w:rPr>
          <w:rFonts w:hint="default" w:ascii="Arial" w:hAnsi="Arial" w:cs="Arial" w:eastAsiaTheme="minorHAnsi"/>
          <w:vanish/>
          <w:sz w:val="17"/>
          <w:szCs w:val="17"/>
          <w:lang w:eastAsia="en-US"/>
        </w:rPr>
      </w:pPr>
    </w:p>
    <w:p w14:paraId="28F0D88B">
      <w:pPr>
        <w:pStyle w:val="220"/>
        <w:numPr>
          <w:ilvl w:val="0"/>
          <w:numId w:val="30"/>
        </w:numPr>
        <w:spacing w:line="240" w:lineRule="auto"/>
        <w:contextualSpacing w:val="0"/>
        <w:jc w:val="both"/>
        <w:rPr>
          <w:rFonts w:hint="default" w:ascii="Arial" w:hAnsi="Arial" w:cs="Arial" w:eastAsiaTheme="minorHAnsi"/>
          <w:vanish/>
          <w:sz w:val="17"/>
          <w:szCs w:val="17"/>
          <w:lang w:eastAsia="en-US"/>
        </w:rPr>
      </w:pPr>
    </w:p>
    <w:p w14:paraId="57E40F42">
      <w:pPr>
        <w:pStyle w:val="220"/>
        <w:numPr>
          <w:ilvl w:val="0"/>
          <w:numId w:val="30"/>
        </w:numPr>
        <w:spacing w:line="240" w:lineRule="auto"/>
        <w:contextualSpacing w:val="0"/>
        <w:jc w:val="both"/>
        <w:rPr>
          <w:rFonts w:hint="default" w:ascii="Arial" w:hAnsi="Arial" w:cs="Arial" w:eastAsiaTheme="minorHAnsi"/>
          <w:vanish/>
          <w:sz w:val="17"/>
          <w:szCs w:val="17"/>
          <w:lang w:eastAsia="en-US"/>
        </w:rPr>
      </w:pPr>
    </w:p>
    <w:p w14:paraId="2BF879A8">
      <w:pPr>
        <w:pStyle w:val="220"/>
        <w:numPr>
          <w:ilvl w:val="0"/>
          <w:numId w:val="30"/>
        </w:numPr>
        <w:spacing w:line="240" w:lineRule="auto"/>
        <w:contextualSpacing w:val="0"/>
        <w:jc w:val="both"/>
        <w:rPr>
          <w:rFonts w:hint="default" w:ascii="Arial" w:hAnsi="Arial" w:cs="Arial" w:eastAsiaTheme="minorHAnsi"/>
          <w:vanish/>
          <w:sz w:val="17"/>
          <w:szCs w:val="17"/>
          <w:lang w:eastAsia="en-US"/>
        </w:rPr>
      </w:pPr>
    </w:p>
    <w:p w14:paraId="624CA3DE">
      <w:pPr>
        <w:pStyle w:val="220"/>
        <w:numPr>
          <w:ilvl w:val="0"/>
          <w:numId w:val="30"/>
        </w:numPr>
        <w:spacing w:line="240" w:lineRule="auto"/>
        <w:contextualSpacing w:val="0"/>
        <w:jc w:val="both"/>
        <w:rPr>
          <w:rFonts w:hint="default" w:ascii="Arial" w:hAnsi="Arial" w:cs="Arial" w:eastAsiaTheme="minorHAnsi"/>
          <w:vanish/>
          <w:sz w:val="17"/>
          <w:szCs w:val="17"/>
          <w:lang w:eastAsia="en-US"/>
        </w:rPr>
      </w:pPr>
    </w:p>
    <w:p w14:paraId="28D09D34">
      <w:pPr>
        <w:pStyle w:val="220"/>
        <w:numPr>
          <w:ilvl w:val="0"/>
          <w:numId w:val="30"/>
        </w:numPr>
        <w:spacing w:line="240" w:lineRule="auto"/>
        <w:contextualSpacing w:val="0"/>
        <w:jc w:val="both"/>
        <w:rPr>
          <w:rFonts w:hint="default" w:ascii="Arial" w:hAnsi="Arial" w:cs="Arial" w:eastAsiaTheme="minorHAnsi"/>
          <w:vanish/>
          <w:sz w:val="17"/>
          <w:szCs w:val="17"/>
          <w:lang w:eastAsia="en-US"/>
        </w:rPr>
      </w:pPr>
    </w:p>
    <w:p w14:paraId="0EF2EC05">
      <w:pPr>
        <w:pStyle w:val="220"/>
        <w:numPr>
          <w:ilvl w:val="0"/>
          <w:numId w:val="30"/>
        </w:numPr>
        <w:spacing w:line="240" w:lineRule="auto"/>
        <w:contextualSpacing w:val="0"/>
        <w:jc w:val="both"/>
        <w:rPr>
          <w:rFonts w:hint="default" w:ascii="Arial" w:hAnsi="Arial" w:cs="Arial" w:eastAsiaTheme="minorHAnsi"/>
          <w:vanish/>
          <w:sz w:val="17"/>
          <w:szCs w:val="17"/>
          <w:lang w:eastAsia="en-US"/>
        </w:rPr>
      </w:pPr>
    </w:p>
    <w:p w14:paraId="2060E361">
      <w:pPr>
        <w:pStyle w:val="220"/>
        <w:numPr>
          <w:ilvl w:val="0"/>
          <w:numId w:val="30"/>
        </w:numPr>
        <w:spacing w:line="240" w:lineRule="auto"/>
        <w:contextualSpacing w:val="0"/>
        <w:jc w:val="both"/>
        <w:rPr>
          <w:rFonts w:hint="default" w:ascii="Arial" w:hAnsi="Arial" w:cs="Arial" w:eastAsiaTheme="minorHAnsi"/>
          <w:vanish/>
          <w:sz w:val="17"/>
          <w:szCs w:val="17"/>
          <w:lang w:eastAsia="en-US"/>
        </w:rPr>
      </w:pPr>
    </w:p>
    <w:p w14:paraId="323F2EB6">
      <w:pPr>
        <w:pStyle w:val="220"/>
        <w:numPr>
          <w:ilvl w:val="1"/>
          <w:numId w:val="30"/>
        </w:numPr>
        <w:spacing w:line="240" w:lineRule="auto"/>
        <w:contextualSpacing w:val="0"/>
        <w:jc w:val="both"/>
        <w:rPr>
          <w:rFonts w:hint="default" w:ascii="Arial" w:hAnsi="Arial" w:cs="Arial" w:eastAsiaTheme="minorHAnsi"/>
          <w:vanish/>
          <w:sz w:val="17"/>
          <w:szCs w:val="17"/>
          <w:lang w:eastAsia="en-US"/>
        </w:rPr>
      </w:pPr>
    </w:p>
    <w:p w14:paraId="0E3F83A3">
      <w:pPr>
        <w:pStyle w:val="316"/>
        <w:numPr>
          <w:ilvl w:val="2"/>
          <w:numId w:val="30"/>
        </w:numPr>
        <w:spacing w:before="0" w:after="0" w:line="240" w:lineRule="auto"/>
        <w:ind w:left="504"/>
        <w:rPr>
          <w:rFonts w:hint="default" w:ascii="Arial" w:hAnsi="Arial" w:cs="Arial"/>
          <w:sz w:val="17"/>
          <w:szCs w:val="17"/>
        </w:rPr>
      </w:pPr>
      <w:r>
        <w:rPr>
          <w:rFonts w:hint="default" w:ascii="Arial" w:hAnsi="Arial" w:cs="Arial"/>
          <w:sz w:val="17"/>
          <w:szCs w:val="17"/>
        </w:rPr>
        <w:t>Descumprir as condições da ata de registro de preços, sem motivo justificado;</w:t>
      </w:r>
    </w:p>
    <w:p w14:paraId="329DB249">
      <w:pPr>
        <w:pStyle w:val="316"/>
        <w:numPr>
          <w:ilvl w:val="2"/>
          <w:numId w:val="30"/>
        </w:numPr>
        <w:spacing w:before="0" w:after="0" w:line="240" w:lineRule="auto"/>
        <w:ind w:left="0" w:firstLine="0"/>
        <w:rPr>
          <w:rFonts w:hint="default" w:ascii="Arial" w:hAnsi="Arial" w:cs="Arial"/>
          <w:sz w:val="17"/>
          <w:szCs w:val="17"/>
        </w:rPr>
      </w:pPr>
      <w:r>
        <w:rPr>
          <w:rFonts w:hint="default" w:ascii="Arial" w:hAnsi="Arial" w:cs="Arial"/>
          <w:sz w:val="17"/>
          <w:szCs w:val="17"/>
        </w:rPr>
        <w:t>Não re</w:t>
      </w:r>
      <w:r>
        <w:rPr>
          <w:rFonts w:hint="default" w:ascii="Arial" w:hAnsi="Arial" w:eastAsia="Arial" w:cs="Arial"/>
          <w:sz w:val="17"/>
          <w:szCs w:val="17"/>
        </w:rPr>
        <w:t>ti</w:t>
      </w:r>
      <w:r>
        <w:rPr>
          <w:rFonts w:hint="default" w:ascii="Arial" w:hAnsi="Arial" w:cs="Arial"/>
          <w:sz w:val="17"/>
          <w:szCs w:val="17"/>
        </w:rPr>
        <w:t>rar a nota de empenho, ou instrumento equivalente, no prazo estabelecido pela Administração sem justificativa razoável;</w:t>
      </w:r>
    </w:p>
    <w:p w14:paraId="54AA6115">
      <w:pPr>
        <w:pStyle w:val="316"/>
        <w:numPr>
          <w:ilvl w:val="2"/>
          <w:numId w:val="30"/>
        </w:numPr>
        <w:spacing w:before="0" w:after="0" w:line="240" w:lineRule="auto"/>
        <w:ind w:left="0" w:firstLine="0"/>
        <w:rPr>
          <w:rFonts w:hint="default" w:ascii="Arial" w:hAnsi="Arial" w:cs="Arial"/>
          <w:sz w:val="17"/>
          <w:szCs w:val="17"/>
        </w:rPr>
      </w:pPr>
      <w:r>
        <w:rPr>
          <w:rFonts w:hint="default" w:ascii="Arial" w:hAnsi="Arial" w:cs="Arial"/>
          <w:sz w:val="17"/>
          <w:szCs w:val="17"/>
        </w:rPr>
        <w:t>Não aceitar manter seu preço registrado, na hipótese prevista no artigo 27, § 2º, do Decreto nº 11.462, de 2023; ou</w:t>
      </w:r>
    </w:p>
    <w:p w14:paraId="1CD5B0FA">
      <w:pPr>
        <w:pStyle w:val="316"/>
        <w:numPr>
          <w:ilvl w:val="2"/>
          <w:numId w:val="30"/>
        </w:numPr>
        <w:spacing w:before="0" w:after="0" w:line="240" w:lineRule="auto"/>
        <w:ind w:left="0" w:firstLine="0"/>
        <w:rPr>
          <w:rFonts w:hint="default" w:ascii="Arial" w:hAnsi="Arial" w:cs="Arial"/>
          <w:sz w:val="17"/>
          <w:szCs w:val="17"/>
        </w:rPr>
      </w:pPr>
      <w:r>
        <w:rPr>
          <w:rFonts w:hint="default" w:ascii="Arial" w:hAnsi="Arial" w:cs="Arial"/>
          <w:sz w:val="17"/>
          <w:szCs w:val="17"/>
        </w:rPr>
        <w:t xml:space="preserve"> Sofrer sanção prevista nos incisos III ou IV do caput do art. 156 da Lei nº 14.133, de 2021.</w:t>
      </w:r>
    </w:p>
    <w:p w14:paraId="7E4C1D78">
      <w:pPr>
        <w:pStyle w:val="318"/>
        <w:numPr>
          <w:ilvl w:val="3"/>
          <w:numId w:val="30"/>
        </w:numPr>
        <w:spacing w:before="0" w:after="0" w:line="240" w:lineRule="auto"/>
        <w:ind w:left="0" w:firstLine="0"/>
        <w:rPr>
          <w:rFonts w:hint="default" w:ascii="Arial" w:hAnsi="Arial" w:cs="Arial"/>
          <w:sz w:val="17"/>
          <w:szCs w:val="17"/>
        </w:rPr>
      </w:pPr>
      <w:r>
        <w:rPr>
          <w:rFonts w:hint="default" w:ascii="Arial" w:hAnsi="Arial" w:cs="Arial"/>
          <w:sz w:val="17"/>
          <w:szCs w:val="17"/>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2D90F9F">
      <w:pPr>
        <w:pStyle w:val="303"/>
        <w:numPr>
          <w:ilvl w:val="1"/>
          <w:numId w:val="30"/>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 xml:space="preserve"> O cancelamento de registros nas hipóteses previstas </w:t>
      </w:r>
      <w:r>
        <w:rPr>
          <w:rFonts w:hint="default" w:cs="Arial"/>
          <w:sz w:val="17"/>
          <w:szCs w:val="17"/>
          <w:lang w:val="pt-BR"/>
        </w:rPr>
        <w:t xml:space="preserve"> </w:t>
      </w:r>
      <w:r>
        <w:rPr>
          <w:rFonts w:hint="default" w:ascii="Arial" w:hAnsi="Arial" w:cs="Arial"/>
          <w:sz w:val="17"/>
          <w:szCs w:val="17"/>
        </w:rPr>
        <w:t>será formalizado por despacho do órgão ou da entidade gerenciadora, garantidos os princípios do contraditório e da ampla defesa.</w:t>
      </w:r>
    </w:p>
    <w:p w14:paraId="6C293DA6">
      <w:pPr>
        <w:pStyle w:val="303"/>
        <w:numPr>
          <w:ilvl w:val="1"/>
          <w:numId w:val="30"/>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Na hipótese de cancelamento do registro do fornecedor, o órgão ou a entidade gerenciadora poderá convocar os licitantes que compõem o cadastro de reserva, observada a ordem de classificação.</w:t>
      </w:r>
    </w:p>
    <w:p w14:paraId="11B3E7B4">
      <w:pPr>
        <w:pStyle w:val="303"/>
        <w:numPr>
          <w:ilvl w:val="1"/>
          <w:numId w:val="30"/>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O cancelamento dos preços registrados poderá ser realizado pelo gerenciador, em determinada ata de registro de preços, total ou parcialmente, nas seguintes hipóteses, desde que devidamente comprovadas e justificadas:</w:t>
      </w:r>
      <w:bookmarkStart w:id="55" w:name="cancelamento_da_ata"/>
      <w:bookmarkEnd w:id="55"/>
    </w:p>
    <w:p w14:paraId="60440A0E">
      <w:pPr>
        <w:pStyle w:val="316"/>
        <w:numPr>
          <w:ilvl w:val="2"/>
          <w:numId w:val="30"/>
        </w:numPr>
        <w:spacing w:before="0" w:after="0" w:line="240" w:lineRule="auto"/>
        <w:ind w:left="0" w:firstLine="0"/>
        <w:rPr>
          <w:rFonts w:hint="default" w:ascii="Arial" w:hAnsi="Arial" w:cs="Arial"/>
          <w:sz w:val="17"/>
          <w:szCs w:val="17"/>
        </w:rPr>
      </w:pPr>
      <w:r>
        <w:rPr>
          <w:rFonts w:hint="default" w:ascii="Arial" w:hAnsi="Arial" w:cs="Arial"/>
          <w:sz w:val="17"/>
          <w:szCs w:val="17"/>
        </w:rPr>
        <w:t>Por razão de interesse público;</w:t>
      </w:r>
    </w:p>
    <w:p w14:paraId="587FF62B">
      <w:pPr>
        <w:pStyle w:val="316"/>
        <w:numPr>
          <w:ilvl w:val="2"/>
          <w:numId w:val="30"/>
        </w:numPr>
        <w:spacing w:before="0" w:after="0" w:line="240" w:lineRule="auto"/>
        <w:ind w:left="0" w:firstLine="0"/>
        <w:rPr>
          <w:rFonts w:hint="default" w:ascii="Arial" w:hAnsi="Arial" w:cs="Arial"/>
          <w:sz w:val="17"/>
          <w:szCs w:val="17"/>
        </w:rPr>
      </w:pPr>
      <w:r>
        <w:rPr>
          <w:rFonts w:hint="default" w:ascii="Arial" w:hAnsi="Arial" w:cs="Arial"/>
          <w:sz w:val="17"/>
          <w:szCs w:val="17"/>
        </w:rPr>
        <w:t>A pedido do fornecedor, decorrente de caso fortuito ou força maior; ou</w:t>
      </w:r>
    </w:p>
    <w:p w14:paraId="34440A35">
      <w:pPr>
        <w:pStyle w:val="316"/>
        <w:numPr>
          <w:ilvl w:val="2"/>
          <w:numId w:val="30"/>
        </w:numPr>
        <w:spacing w:before="0" w:after="0" w:line="240" w:lineRule="auto"/>
        <w:ind w:left="0" w:firstLine="0"/>
        <w:rPr>
          <w:rFonts w:hint="default" w:ascii="Arial" w:hAnsi="Arial" w:cs="Arial"/>
          <w:sz w:val="17"/>
          <w:szCs w:val="17"/>
        </w:rPr>
      </w:pPr>
      <w:r>
        <w:rPr>
          <w:rFonts w:hint="default" w:ascii="Arial" w:hAnsi="Arial" w:cs="Arial"/>
          <w:sz w:val="17"/>
          <w:szCs w:val="17"/>
        </w:rPr>
        <w:t xml:space="preserve">Se não houver êxito nas negociações, nas hipóteses em que o preço de mercado tornar-se superior ou inferior ao preço registrado, nos termos do artigos 26, § 3º e 27, § 4º, ambos do Decreto nº 11.462, de 2023. </w:t>
      </w:r>
    </w:p>
    <w:p w14:paraId="2F54A7A1">
      <w:pPr>
        <w:spacing w:line="240" w:lineRule="auto"/>
        <w:jc w:val="both"/>
        <w:rPr>
          <w:rFonts w:hint="default" w:ascii="Arial" w:hAnsi="Arial" w:cs="Arial"/>
          <w:b/>
          <w:bCs/>
          <w:sz w:val="17"/>
          <w:szCs w:val="17"/>
        </w:rPr>
      </w:pPr>
    </w:p>
    <w:p w14:paraId="73784A9A">
      <w:pPr>
        <w:spacing w:line="240" w:lineRule="auto"/>
        <w:jc w:val="both"/>
        <w:rPr>
          <w:rFonts w:hint="default" w:ascii="Arial" w:hAnsi="Arial" w:cs="Arial"/>
          <w:b/>
          <w:bCs/>
          <w:sz w:val="17"/>
          <w:szCs w:val="17"/>
        </w:rPr>
      </w:pPr>
      <w:r>
        <w:rPr>
          <w:rFonts w:hint="default" w:ascii="Arial" w:hAnsi="Arial" w:cs="Arial"/>
          <w:b/>
          <w:bCs/>
          <w:sz w:val="17"/>
          <w:szCs w:val="17"/>
        </w:rPr>
        <w:t>CLAUSULA DÉCIMA – DAS PENALIDADES</w:t>
      </w:r>
    </w:p>
    <w:p w14:paraId="689815A3">
      <w:pPr>
        <w:pStyle w:val="303"/>
        <w:numPr>
          <w:ilvl w:val="0"/>
          <w:numId w:val="31"/>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 xml:space="preserve">O descumprimento da Ata de Registro de Preços ensejará aplicação das penalidades estabelecidas </w:t>
      </w:r>
      <w:r>
        <w:rPr>
          <w:rFonts w:hint="default" w:ascii="Arial" w:hAnsi="Arial" w:cs="Arial"/>
          <w:color w:val="auto"/>
          <w:sz w:val="17"/>
          <w:szCs w:val="17"/>
        </w:rPr>
        <w:t>nesta Ata, no edital ou no aviso de contratação direta</w:t>
      </w:r>
      <w:r>
        <w:rPr>
          <w:rFonts w:hint="default" w:ascii="Arial" w:hAnsi="Arial" w:cs="Arial"/>
          <w:sz w:val="17"/>
          <w:szCs w:val="17"/>
        </w:rPr>
        <w:t>.</w:t>
      </w:r>
    </w:p>
    <w:p w14:paraId="5F3CF982">
      <w:pPr>
        <w:pStyle w:val="316"/>
        <w:numPr>
          <w:ilvl w:val="0"/>
          <w:numId w:val="31"/>
        </w:numPr>
        <w:tabs>
          <w:tab w:val="left" w:pos="426"/>
        </w:tabs>
        <w:spacing w:before="0" w:after="0" w:line="240" w:lineRule="auto"/>
        <w:ind w:left="0" w:firstLine="0"/>
        <w:rPr>
          <w:rFonts w:hint="default" w:ascii="Arial" w:hAnsi="Arial" w:cs="Arial"/>
          <w:sz w:val="17"/>
          <w:szCs w:val="17"/>
        </w:rPr>
      </w:pPr>
      <w:r>
        <w:rPr>
          <w:rFonts w:hint="default" w:ascii="Arial" w:hAnsi="Arial" w:cs="Arial"/>
          <w:sz w:val="17"/>
          <w:szCs w:val="17"/>
        </w:rPr>
        <w:t xml:space="preserve">As sanções também se aplicam aos integrantes do cadastro de reserva no registro de preços que, convocados, não honrarem o compromisso assumido injustificadamente após terem assinado a ata. </w:t>
      </w:r>
    </w:p>
    <w:p w14:paraId="5092EB76">
      <w:pPr>
        <w:pStyle w:val="303"/>
        <w:numPr>
          <w:ilvl w:val="0"/>
          <w:numId w:val="31"/>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BA4061D">
      <w:pPr>
        <w:pStyle w:val="303"/>
        <w:numPr>
          <w:ilvl w:val="0"/>
          <w:numId w:val="31"/>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O órgão ou entidade participante deverá comunicar ao órgão gerenciador qualquer das ocorrências previstas no item 9.1, dada a necessidade de instauração de procedimento para cancelamento do registro do fornecedor.</w:t>
      </w:r>
    </w:p>
    <w:p w14:paraId="055253A9">
      <w:pPr>
        <w:pStyle w:val="303"/>
        <w:numPr>
          <w:ilvl w:val="0"/>
          <w:numId w:val="31"/>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 xml:space="preserve">Comete infração administrativa, nos termos da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w:instrText>
      </w:r>
      <w:r>
        <w:rPr>
          <w:rFonts w:hint="default" w:ascii="Arial" w:hAnsi="Arial" w:cs="Arial"/>
          <w:sz w:val="17"/>
          <w:szCs w:val="17"/>
        </w:rPr>
        <w:fldChar w:fldCharType="separate"/>
      </w:r>
      <w:r>
        <w:rPr>
          <w:rStyle w:val="11"/>
          <w:rFonts w:hint="default" w:ascii="Arial" w:hAnsi="Arial" w:cs="Arial"/>
          <w:sz w:val="17"/>
          <w:szCs w:val="17"/>
        </w:rPr>
        <w:t>Lei nº 14.133, de 2021</w:t>
      </w:r>
      <w:r>
        <w:rPr>
          <w:rStyle w:val="11"/>
          <w:rFonts w:hint="default" w:ascii="Arial" w:hAnsi="Arial" w:cs="Arial"/>
          <w:sz w:val="17"/>
          <w:szCs w:val="17"/>
        </w:rPr>
        <w:fldChar w:fldCharType="end"/>
      </w:r>
      <w:r>
        <w:rPr>
          <w:rFonts w:hint="default" w:ascii="Arial" w:hAnsi="Arial" w:cs="Arial"/>
          <w:sz w:val="17"/>
          <w:szCs w:val="17"/>
        </w:rPr>
        <w:t>, o contratado que:</w:t>
      </w:r>
    </w:p>
    <w:p w14:paraId="5731C5A2">
      <w:pPr>
        <w:numPr>
          <w:ilvl w:val="2"/>
          <w:numId w:val="32"/>
        </w:numPr>
        <w:ind w:left="0" w:leftChars="0" w:firstLine="0" w:firstLineChars="0"/>
        <w:jc w:val="both"/>
        <w:rPr>
          <w:rFonts w:hint="default" w:ascii="Arial" w:hAnsi="Arial" w:eastAsia="Arial" w:cs="Arial"/>
          <w:sz w:val="17"/>
          <w:szCs w:val="17"/>
        </w:rPr>
      </w:pPr>
      <w:r>
        <w:rPr>
          <w:rFonts w:hint="default" w:ascii="Arial" w:hAnsi="Arial" w:eastAsia="Arial" w:cs="Arial"/>
          <w:sz w:val="17"/>
          <w:szCs w:val="17"/>
        </w:rPr>
        <w:t>der causa à inexecução parcial do contrato;</w:t>
      </w:r>
    </w:p>
    <w:p w14:paraId="5DD9BBAC">
      <w:pPr>
        <w:numPr>
          <w:ilvl w:val="2"/>
          <w:numId w:val="32"/>
        </w:numPr>
        <w:ind w:left="0" w:leftChars="0" w:firstLine="0" w:firstLineChars="0"/>
        <w:jc w:val="both"/>
        <w:rPr>
          <w:rFonts w:hint="default" w:ascii="Arial" w:hAnsi="Arial" w:eastAsia="Arial" w:cs="Arial"/>
          <w:sz w:val="17"/>
          <w:szCs w:val="17"/>
        </w:rPr>
      </w:pPr>
      <w:r>
        <w:rPr>
          <w:rFonts w:hint="default" w:ascii="Arial" w:hAnsi="Arial" w:eastAsia="Arial" w:cs="Arial"/>
          <w:sz w:val="17"/>
          <w:szCs w:val="17"/>
        </w:rPr>
        <w:t>der causa à inexecução parcial do contrato que cause grave dano à Administração ou ao funcionamento dos serviços públicos ou ao interesse coletivo;</w:t>
      </w:r>
    </w:p>
    <w:p w14:paraId="298928DB">
      <w:pPr>
        <w:numPr>
          <w:ilvl w:val="2"/>
          <w:numId w:val="32"/>
        </w:numPr>
        <w:ind w:left="0" w:leftChars="0" w:firstLine="0" w:firstLineChars="0"/>
        <w:jc w:val="both"/>
        <w:rPr>
          <w:rFonts w:hint="default" w:ascii="Arial" w:hAnsi="Arial" w:eastAsia="Arial" w:cs="Arial"/>
          <w:sz w:val="17"/>
          <w:szCs w:val="17"/>
        </w:rPr>
      </w:pPr>
      <w:r>
        <w:rPr>
          <w:rFonts w:hint="default" w:ascii="Arial" w:hAnsi="Arial" w:eastAsia="Arial" w:cs="Arial"/>
          <w:sz w:val="17"/>
          <w:szCs w:val="17"/>
        </w:rPr>
        <w:t>der causa à inexecução total do contrato;</w:t>
      </w:r>
    </w:p>
    <w:p w14:paraId="1BDCBB3F">
      <w:pPr>
        <w:numPr>
          <w:ilvl w:val="2"/>
          <w:numId w:val="32"/>
        </w:numPr>
        <w:ind w:left="0" w:leftChars="0" w:firstLine="0" w:firstLineChars="0"/>
        <w:jc w:val="both"/>
        <w:rPr>
          <w:rFonts w:hint="default" w:ascii="Arial" w:hAnsi="Arial" w:eastAsia="Arial" w:cs="Arial"/>
          <w:sz w:val="17"/>
          <w:szCs w:val="17"/>
        </w:rPr>
      </w:pPr>
      <w:r>
        <w:rPr>
          <w:rFonts w:hint="default" w:ascii="Arial" w:hAnsi="Arial" w:eastAsia="Arial" w:cs="Arial"/>
          <w:sz w:val="17"/>
          <w:szCs w:val="17"/>
        </w:rPr>
        <w:t>ensejar o retardamento da execução ou da entrega do objeto da contratação sem motivo justificado;</w:t>
      </w:r>
    </w:p>
    <w:p w14:paraId="141A1A34">
      <w:pPr>
        <w:numPr>
          <w:ilvl w:val="2"/>
          <w:numId w:val="32"/>
        </w:numPr>
        <w:ind w:left="0" w:leftChars="0" w:firstLine="0" w:firstLineChars="0"/>
        <w:jc w:val="both"/>
        <w:rPr>
          <w:rFonts w:hint="default" w:ascii="Arial" w:hAnsi="Arial" w:eastAsia="Arial" w:cs="Arial"/>
          <w:sz w:val="17"/>
          <w:szCs w:val="17"/>
        </w:rPr>
      </w:pPr>
      <w:r>
        <w:rPr>
          <w:rFonts w:hint="default" w:ascii="Arial" w:hAnsi="Arial" w:eastAsia="Arial" w:cs="Arial"/>
          <w:sz w:val="17"/>
          <w:szCs w:val="17"/>
        </w:rPr>
        <w:t>apresentar documentação falsa ou prestar declaração falsa durante a execução do contrato;</w:t>
      </w:r>
    </w:p>
    <w:p w14:paraId="1DA61CDC">
      <w:pPr>
        <w:numPr>
          <w:ilvl w:val="2"/>
          <w:numId w:val="32"/>
        </w:numPr>
        <w:ind w:left="0" w:leftChars="0" w:firstLine="0" w:firstLineChars="0"/>
        <w:jc w:val="both"/>
        <w:rPr>
          <w:rFonts w:hint="default" w:ascii="Arial" w:hAnsi="Arial" w:eastAsia="Arial" w:cs="Arial"/>
          <w:sz w:val="17"/>
          <w:szCs w:val="17"/>
        </w:rPr>
      </w:pPr>
      <w:r>
        <w:rPr>
          <w:rFonts w:hint="default" w:ascii="Arial" w:hAnsi="Arial" w:eastAsia="Arial" w:cs="Arial"/>
          <w:sz w:val="17"/>
          <w:szCs w:val="17"/>
        </w:rPr>
        <w:t>praticar ato fraudulento na execução do contrato;</w:t>
      </w:r>
    </w:p>
    <w:p w14:paraId="05C545D8">
      <w:pPr>
        <w:numPr>
          <w:ilvl w:val="2"/>
          <w:numId w:val="32"/>
        </w:numPr>
        <w:ind w:left="0" w:leftChars="0" w:firstLine="0" w:firstLineChars="0"/>
        <w:jc w:val="both"/>
        <w:rPr>
          <w:rFonts w:hint="default" w:ascii="Arial" w:hAnsi="Arial" w:eastAsia="Arial" w:cs="Arial"/>
          <w:sz w:val="17"/>
          <w:szCs w:val="17"/>
        </w:rPr>
      </w:pPr>
      <w:r>
        <w:rPr>
          <w:rFonts w:hint="default" w:ascii="Arial" w:hAnsi="Arial" w:eastAsia="Arial" w:cs="Arial"/>
          <w:sz w:val="17"/>
          <w:szCs w:val="17"/>
        </w:rPr>
        <w:t>comportar-se de modo inidôneo ou cometer fraude de qualquer natureza;</w:t>
      </w:r>
    </w:p>
    <w:p w14:paraId="7A71482D">
      <w:pPr>
        <w:numPr>
          <w:ilvl w:val="2"/>
          <w:numId w:val="32"/>
        </w:numPr>
        <w:ind w:left="0" w:leftChars="0" w:firstLine="0" w:firstLineChars="0"/>
        <w:jc w:val="both"/>
        <w:rPr>
          <w:rFonts w:hint="default" w:ascii="Arial" w:hAnsi="Arial" w:eastAsia="Arial" w:cs="Arial"/>
          <w:sz w:val="17"/>
          <w:szCs w:val="17"/>
        </w:rPr>
      </w:pPr>
      <w:r>
        <w:rPr>
          <w:rFonts w:hint="default" w:ascii="Arial" w:hAnsi="Arial" w:eastAsia="Arial" w:cs="Arial"/>
          <w:sz w:val="17"/>
          <w:szCs w:val="17"/>
        </w:rPr>
        <w:t>praticar ato lesivo previsto no art. 5º da Lei nº 12.846, de 1º de agosto de 2013.</w:t>
      </w:r>
    </w:p>
    <w:p w14:paraId="6E7D6D1B">
      <w:pPr>
        <w:pStyle w:val="303"/>
        <w:numPr>
          <w:ilvl w:val="1"/>
          <w:numId w:val="0"/>
        </w:numPr>
        <w:spacing w:before="0" w:after="0" w:line="240" w:lineRule="auto"/>
        <w:ind w:left="0" w:leftChars="0" w:firstLine="0" w:firstLineChars="0"/>
        <w:rPr>
          <w:rFonts w:hint="default" w:ascii="Arial" w:hAnsi="Arial" w:cs="Arial"/>
          <w:sz w:val="17"/>
          <w:szCs w:val="17"/>
        </w:rPr>
      </w:pPr>
      <w:r>
        <w:rPr>
          <w:rFonts w:hint="default" w:ascii="Arial" w:hAnsi="Arial" w:cs="Arial"/>
          <w:sz w:val="17"/>
          <w:szCs w:val="17"/>
        </w:rPr>
        <w:t>10.6. Serão aplicadas ao contratado que incorrer nas infrações acima descritas as seguintes sanções:</w:t>
      </w:r>
    </w:p>
    <w:p w14:paraId="75974350">
      <w:pPr>
        <w:numPr>
          <w:ilvl w:val="2"/>
          <w:numId w:val="33"/>
        </w:numPr>
        <w:ind w:left="0" w:leftChars="0" w:firstLine="0" w:firstLineChars="0"/>
        <w:contextualSpacing/>
        <w:jc w:val="both"/>
        <w:rPr>
          <w:rFonts w:hint="default" w:ascii="Arial" w:hAnsi="Arial" w:eastAsia="Arial" w:cs="Arial"/>
          <w:sz w:val="17"/>
          <w:szCs w:val="17"/>
        </w:rPr>
      </w:pPr>
      <w:r>
        <w:rPr>
          <w:rFonts w:hint="default" w:ascii="Arial" w:hAnsi="Arial" w:eastAsia="Arial" w:cs="Arial"/>
          <w:b/>
          <w:bCs/>
          <w:sz w:val="17"/>
          <w:szCs w:val="17"/>
        </w:rPr>
        <w:t>Advertência</w:t>
      </w:r>
      <w:r>
        <w:rPr>
          <w:rFonts w:hint="default" w:ascii="Arial" w:hAnsi="Arial" w:eastAsia="Arial" w:cs="Arial"/>
          <w:sz w:val="17"/>
          <w:szCs w:val="17"/>
        </w:rPr>
        <w:t>, quando o contratado der causa à inexecução parcial do contrato, sempre que não se justificar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"art156§2" </w:instrText>
      </w:r>
      <w:r>
        <w:rPr>
          <w:rFonts w:hint="default" w:ascii="Arial" w:hAnsi="Arial" w:cs="Arial"/>
          <w:sz w:val="17"/>
          <w:szCs w:val="17"/>
        </w:rPr>
        <w:fldChar w:fldCharType="separate"/>
      </w:r>
      <w:r>
        <w:rPr>
          <w:rStyle w:val="11"/>
          <w:rFonts w:hint="default" w:ascii="Arial" w:hAnsi="Arial" w:eastAsia="Arial" w:cs="Arial"/>
          <w:sz w:val="17"/>
          <w:szCs w:val="17"/>
        </w:rPr>
        <w:t xml:space="preserve">art. 156, §2º, da </w:t>
      </w:r>
      <w:bookmarkStart w:id="56" w:name="_Hlk114504069"/>
      <w:r>
        <w:rPr>
          <w:rStyle w:val="11"/>
          <w:rFonts w:hint="default" w:ascii="Arial" w:hAnsi="Arial" w:eastAsia="Arial" w:cs="Arial"/>
          <w:sz w:val="17"/>
          <w:szCs w:val="17"/>
        </w:rPr>
        <w:t>Lei nº 14.133, de 2021</w:t>
      </w:r>
      <w:bookmarkEnd w:id="56"/>
      <w:r>
        <w:rPr>
          <w:rStyle w:val="11"/>
          <w:rFonts w:hint="default" w:ascii="Arial" w:hAnsi="Arial" w:eastAsia="Arial" w:cs="Arial"/>
          <w:sz w:val="17"/>
          <w:szCs w:val="17"/>
        </w:rPr>
        <w:fldChar w:fldCharType="end"/>
      </w:r>
      <w:r>
        <w:rPr>
          <w:rFonts w:hint="default" w:ascii="Arial" w:hAnsi="Arial" w:eastAsia="Arial" w:cs="Arial"/>
          <w:sz w:val="17"/>
          <w:szCs w:val="17"/>
        </w:rPr>
        <w:t>);</w:t>
      </w:r>
    </w:p>
    <w:p w14:paraId="4C92C8B6">
      <w:pPr>
        <w:numPr>
          <w:ilvl w:val="2"/>
          <w:numId w:val="33"/>
        </w:numPr>
        <w:ind w:left="0" w:leftChars="0" w:firstLine="0" w:firstLineChars="0"/>
        <w:contextualSpacing/>
        <w:jc w:val="both"/>
        <w:rPr>
          <w:rFonts w:hint="default" w:ascii="Arial" w:hAnsi="Arial" w:eastAsia="Arial" w:cs="Arial"/>
          <w:sz w:val="17"/>
          <w:szCs w:val="17"/>
        </w:rPr>
      </w:pPr>
      <w:r>
        <w:rPr>
          <w:rFonts w:hint="default" w:ascii="Arial" w:hAnsi="Arial" w:eastAsia="Arial" w:cs="Arial"/>
          <w:b/>
          <w:bCs/>
          <w:sz w:val="17"/>
          <w:szCs w:val="17"/>
        </w:rPr>
        <w:t>Impedimento de licitar e contratar</w:t>
      </w:r>
      <w:r>
        <w:rPr>
          <w:rFonts w:hint="default" w:ascii="Arial" w:hAnsi="Arial" w:eastAsia="Arial" w:cs="Arial"/>
          <w:sz w:val="17"/>
          <w:szCs w:val="17"/>
        </w:rPr>
        <w:t>, quando praticadas as condutas descritas nas alíneas “b”, “c” e “d” do subitem acima deste Contrato, sempre que não se justificar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"art156§4" </w:instrText>
      </w:r>
      <w:r>
        <w:rPr>
          <w:rFonts w:hint="default" w:ascii="Arial" w:hAnsi="Arial" w:cs="Arial"/>
          <w:sz w:val="17"/>
          <w:szCs w:val="17"/>
        </w:rPr>
        <w:fldChar w:fldCharType="separate"/>
      </w:r>
      <w:r>
        <w:rPr>
          <w:rStyle w:val="11"/>
          <w:rFonts w:hint="default" w:ascii="Arial" w:hAnsi="Arial" w:eastAsia="Arial" w:cs="Arial"/>
          <w:sz w:val="17"/>
          <w:szCs w:val="17"/>
        </w:rPr>
        <w:t>art. 156, § 4º, da Lei nº 14.133, de 2021</w:t>
      </w:r>
      <w:r>
        <w:rPr>
          <w:rStyle w:val="11"/>
          <w:rFonts w:hint="default" w:ascii="Arial" w:hAnsi="Arial" w:eastAsia="Arial" w:cs="Arial"/>
          <w:sz w:val="17"/>
          <w:szCs w:val="17"/>
        </w:rPr>
        <w:fldChar w:fldCharType="end"/>
      </w:r>
      <w:r>
        <w:rPr>
          <w:rFonts w:hint="default" w:ascii="Arial" w:hAnsi="Arial" w:eastAsia="Arial" w:cs="Arial"/>
          <w:sz w:val="17"/>
          <w:szCs w:val="17"/>
        </w:rPr>
        <w:t>);</w:t>
      </w:r>
    </w:p>
    <w:p w14:paraId="75746B06">
      <w:pPr>
        <w:numPr>
          <w:ilvl w:val="2"/>
          <w:numId w:val="33"/>
        </w:numPr>
        <w:ind w:left="0" w:leftChars="0" w:firstLine="0" w:firstLineChars="0"/>
        <w:contextualSpacing/>
        <w:jc w:val="both"/>
        <w:rPr>
          <w:rFonts w:hint="default" w:ascii="Arial" w:hAnsi="Arial" w:eastAsia="Arial" w:cs="Arial"/>
          <w:sz w:val="17"/>
          <w:szCs w:val="17"/>
        </w:rPr>
      </w:pPr>
      <w:r>
        <w:rPr>
          <w:rFonts w:hint="default" w:ascii="Arial" w:hAnsi="Arial" w:eastAsia="Arial" w:cs="Arial"/>
          <w:b/>
          <w:bCs/>
          <w:sz w:val="17"/>
          <w:szCs w:val="17"/>
        </w:rPr>
        <w:t>Declaração de inidoneidade para licitar e contratar</w:t>
      </w:r>
      <w:r>
        <w:rPr>
          <w:rFonts w:hint="default" w:ascii="Arial" w:hAnsi="Arial" w:eastAsia="Arial" w:cs="Arial"/>
          <w:sz w:val="17"/>
          <w:szCs w:val="17"/>
        </w:rPr>
        <w:t>, quando praticadas as condutas descritas nas alíneas “e”, “f”, “g” e “h” do subitem acima deste Contrato, bem como nas alíneas “b”, “c” e “d”, que justifiquem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"art156§5" </w:instrText>
      </w:r>
      <w:r>
        <w:rPr>
          <w:rFonts w:hint="default" w:ascii="Arial" w:hAnsi="Arial" w:cs="Arial"/>
          <w:sz w:val="17"/>
          <w:szCs w:val="17"/>
        </w:rPr>
        <w:fldChar w:fldCharType="separate"/>
      </w:r>
      <w:r>
        <w:rPr>
          <w:rStyle w:val="11"/>
          <w:rFonts w:hint="default" w:ascii="Arial" w:hAnsi="Arial" w:eastAsia="Arial" w:cs="Arial"/>
          <w:sz w:val="17"/>
          <w:szCs w:val="17"/>
        </w:rPr>
        <w:t>art. 156, §5º, da Lei nº 14.133, de 2021</w:t>
      </w:r>
      <w:r>
        <w:rPr>
          <w:rStyle w:val="11"/>
          <w:rFonts w:hint="default" w:ascii="Arial" w:hAnsi="Arial" w:eastAsia="Arial" w:cs="Arial"/>
          <w:sz w:val="17"/>
          <w:szCs w:val="17"/>
        </w:rPr>
        <w:fldChar w:fldCharType="end"/>
      </w:r>
      <w:r>
        <w:rPr>
          <w:rFonts w:hint="default" w:ascii="Arial" w:hAnsi="Arial" w:eastAsia="Arial" w:cs="Arial"/>
          <w:sz w:val="17"/>
          <w:szCs w:val="17"/>
        </w:rPr>
        <w:t>).</w:t>
      </w:r>
    </w:p>
    <w:p w14:paraId="14D21CFE">
      <w:pPr>
        <w:numPr>
          <w:ilvl w:val="2"/>
          <w:numId w:val="33"/>
        </w:numPr>
        <w:ind w:left="0" w:leftChars="0" w:firstLine="0" w:firstLineChars="0"/>
        <w:contextualSpacing/>
        <w:jc w:val="both"/>
        <w:rPr>
          <w:rFonts w:hint="default" w:ascii="Arial" w:hAnsi="Arial" w:eastAsia="Arial" w:cs="Arial"/>
          <w:sz w:val="17"/>
          <w:szCs w:val="17"/>
        </w:rPr>
      </w:pPr>
      <w:r>
        <w:rPr>
          <w:rFonts w:hint="default" w:ascii="Arial" w:hAnsi="Arial" w:eastAsia="Arial" w:cs="Arial"/>
          <w:b/>
          <w:bCs/>
          <w:sz w:val="17"/>
          <w:szCs w:val="17"/>
        </w:rPr>
        <w:t>Multa:</w:t>
      </w:r>
    </w:p>
    <w:p w14:paraId="44628F70">
      <w:pPr>
        <w:numPr>
          <w:ilvl w:val="3"/>
          <w:numId w:val="33"/>
        </w:numPr>
        <w:ind w:left="0" w:firstLine="284"/>
        <w:contextualSpacing/>
        <w:jc w:val="both"/>
        <w:rPr>
          <w:rFonts w:hint="default" w:ascii="Arial" w:hAnsi="Arial" w:eastAsia="Arial" w:cs="Arial"/>
          <w:sz w:val="17"/>
          <w:szCs w:val="17"/>
        </w:rPr>
      </w:pPr>
      <w:r>
        <w:rPr>
          <w:rFonts w:hint="default" w:ascii="Arial" w:hAnsi="Arial" w:eastAsia="Arial" w:cs="Arial"/>
          <w:sz w:val="17"/>
          <w:szCs w:val="17"/>
        </w:rPr>
        <w:t>Moratória de 0,5% (zero vírgula cinco por cento) por dia de atraso injustificado sobre o valor da parcela inadimplida, até o limite de 30% (trinta por cento), respeitando o devido processo legal e o contraditório e ampla defesa.</w:t>
      </w:r>
    </w:p>
    <w:p w14:paraId="23F9B76D">
      <w:pPr>
        <w:widowControl w:val="0"/>
        <w:numPr>
          <w:ilvl w:val="3"/>
          <w:numId w:val="33"/>
        </w:numPr>
        <w:autoSpaceDE w:val="0"/>
        <w:autoSpaceDN w:val="0"/>
        <w:ind w:left="0" w:firstLine="284"/>
        <w:contextualSpacing/>
        <w:jc w:val="both"/>
        <w:rPr>
          <w:rFonts w:hint="default" w:ascii="Arial" w:hAnsi="Arial" w:eastAsia="Arial" w:cs="Arial"/>
          <w:sz w:val="17"/>
          <w:szCs w:val="17"/>
        </w:rPr>
      </w:pPr>
      <w:r>
        <w:rPr>
          <w:rFonts w:hint="default" w:ascii="Arial" w:hAnsi="Arial" w:eastAsia="Arial" w:cs="Arial"/>
          <w:sz w:val="17"/>
          <w:szCs w:val="17"/>
        </w:rPr>
        <w:t>Multa de até 20% sobre o valor da proposta quando o contratado for condenado em eventual Processo Administrativo de Responsabilização (PAR), nos termos da Lei Municipal nº 4.879/2022, pelos casos previstos na cláusula 10.6, alíneas ii e iii, a qual será mensurada proporcionalmente à gravidade da infração cometida</w:t>
      </w:r>
    </w:p>
    <w:p w14:paraId="5AEDE1D4">
      <w:pPr>
        <w:pStyle w:val="303"/>
        <w:numPr>
          <w:ilvl w:val="1"/>
          <w:numId w:val="0"/>
        </w:numPr>
        <w:spacing w:before="0" w:after="0" w:line="240" w:lineRule="auto"/>
        <w:rPr>
          <w:rFonts w:hint="default" w:ascii="Arial" w:hAnsi="Arial" w:cs="Arial"/>
          <w:sz w:val="17"/>
          <w:szCs w:val="17"/>
        </w:rPr>
      </w:pPr>
    </w:p>
    <w:p w14:paraId="32FDB0C4">
      <w:pPr>
        <w:pStyle w:val="303"/>
        <w:numPr>
          <w:ilvl w:val="1"/>
          <w:numId w:val="0"/>
        </w:numPr>
        <w:spacing w:before="0" w:after="0" w:line="240" w:lineRule="auto"/>
        <w:rPr>
          <w:rFonts w:hint="default" w:ascii="Arial" w:hAnsi="Arial" w:cs="Arial"/>
          <w:sz w:val="17"/>
          <w:szCs w:val="17"/>
        </w:rPr>
      </w:pPr>
      <w:r>
        <w:rPr>
          <w:rFonts w:hint="default" w:ascii="Arial" w:hAnsi="Arial" w:cs="Arial"/>
          <w:sz w:val="17"/>
          <w:szCs w:val="17"/>
        </w:rPr>
        <w:t>10.7.  A aplicação das sanções previstas neste Contrato não exclui, em hipótese alguma, a obrigação de reparação integral do dano causado ao Contratante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"art156§9" </w:instrText>
      </w:r>
      <w:r>
        <w:rPr>
          <w:rFonts w:hint="default" w:ascii="Arial" w:hAnsi="Arial" w:cs="Arial"/>
          <w:sz w:val="17"/>
          <w:szCs w:val="17"/>
        </w:rPr>
        <w:fldChar w:fldCharType="separate"/>
      </w:r>
      <w:r>
        <w:rPr>
          <w:rStyle w:val="11"/>
          <w:rFonts w:hint="default" w:ascii="Arial" w:hAnsi="Arial" w:cs="Arial"/>
          <w:sz w:val="17"/>
          <w:szCs w:val="17"/>
        </w:rPr>
        <w:t>art. 156, §9º, da Lei nº 14.133, de 2021</w:t>
      </w:r>
      <w:r>
        <w:rPr>
          <w:rStyle w:val="11"/>
          <w:rFonts w:hint="default" w:ascii="Arial" w:hAnsi="Arial" w:cs="Arial"/>
          <w:sz w:val="17"/>
          <w:szCs w:val="17"/>
        </w:rPr>
        <w:fldChar w:fldCharType="end"/>
      </w:r>
      <w:r>
        <w:rPr>
          <w:rFonts w:hint="default" w:ascii="Arial" w:hAnsi="Arial" w:cs="Arial"/>
          <w:sz w:val="17"/>
          <w:szCs w:val="17"/>
        </w:rPr>
        <w:t>)</w:t>
      </w:r>
    </w:p>
    <w:p w14:paraId="31C30C96">
      <w:pPr>
        <w:pStyle w:val="303"/>
        <w:numPr>
          <w:ilvl w:val="1"/>
          <w:numId w:val="0"/>
        </w:numPr>
        <w:spacing w:before="0" w:after="0" w:line="240" w:lineRule="auto"/>
        <w:rPr>
          <w:rFonts w:hint="default" w:ascii="Arial" w:hAnsi="Arial" w:cs="Arial"/>
          <w:sz w:val="17"/>
          <w:szCs w:val="17"/>
        </w:rPr>
      </w:pPr>
      <w:r>
        <w:rPr>
          <w:rFonts w:hint="default" w:ascii="Arial" w:hAnsi="Arial" w:cs="Arial"/>
          <w:sz w:val="17"/>
          <w:szCs w:val="17"/>
        </w:rPr>
        <w:t>10.8. Todas as sanções previstas neste Contrato poderão ser aplicadas cumulativamente com a multa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"art156§7" </w:instrText>
      </w:r>
      <w:r>
        <w:rPr>
          <w:rFonts w:hint="default" w:ascii="Arial" w:hAnsi="Arial" w:cs="Arial"/>
          <w:sz w:val="17"/>
          <w:szCs w:val="17"/>
        </w:rPr>
        <w:fldChar w:fldCharType="separate"/>
      </w:r>
      <w:r>
        <w:rPr>
          <w:rStyle w:val="11"/>
          <w:rFonts w:hint="default" w:ascii="Arial" w:hAnsi="Arial" w:cs="Arial"/>
          <w:sz w:val="17"/>
          <w:szCs w:val="17"/>
        </w:rPr>
        <w:t>art. 156, §7º, da Lei nº 14.133, de 2021</w:t>
      </w:r>
      <w:r>
        <w:rPr>
          <w:rStyle w:val="11"/>
          <w:rFonts w:hint="default" w:ascii="Arial" w:hAnsi="Arial" w:cs="Arial"/>
          <w:sz w:val="17"/>
          <w:szCs w:val="17"/>
        </w:rPr>
        <w:fldChar w:fldCharType="end"/>
      </w:r>
      <w:r>
        <w:rPr>
          <w:rFonts w:hint="default" w:ascii="Arial" w:hAnsi="Arial" w:cs="Arial"/>
          <w:sz w:val="17"/>
          <w:szCs w:val="17"/>
        </w:rPr>
        <w:t>).</w:t>
      </w:r>
    </w:p>
    <w:p w14:paraId="4E56E2E6">
      <w:pPr>
        <w:pStyle w:val="304"/>
        <w:numPr>
          <w:ilvl w:val="2"/>
          <w:numId w:val="0"/>
        </w:numPr>
        <w:spacing w:before="0" w:after="0" w:line="240" w:lineRule="auto"/>
        <w:rPr>
          <w:rFonts w:hint="default" w:ascii="Arial" w:hAnsi="Arial" w:cs="Arial"/>
          <w:sz w:val="17"/>
          <w:szCs w:val="17"/>
        </w:rPr>
      </w:pPr>
      <w:r>
        <w:rPr>
          <w:rFonts w:hint="default" w:ascii="Arial" w:hAnsi="Arial" w:cs="Arial"/>
          <w:sz w:val="17"/>
          <w:szCs w:val="17"/>
        </w:rPr>
        <w:t>10.9. Antes da aplicação da multa será facultada a defesa do interessado no prazo de 15 (quinze) dias úteis, contado da data de sua intimação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"art157" </w:instrText>
      </w:r>
      <w:r>
        <w:rPr>
          <w:rFonts w:hint="default" w:ascii="Arial" w:hAnsi="Arial" w:cs="Arial"/>
          <w:sz w:val="17"/>
          <w:szCs w:val="17"/>
        </w:rPr>
        <w:fldChar w:fldCharType="separate"/>
      </w:r>
      <w:r>
        <w:rPr>
          <w:rStyle w:val="11"/>
          <w:rFonts w:hint="default" w:ascii="Arial" w:hAnsi="Arial" w:cs="Arial"/>
          <w:sz w:val="17"/>
          <w:szCs w:val="17"/>
        </w:rPr>
        <w:t>art. 157, da Lei nº 14.133, de 2021</w:t>
      </w:r>
      <w:r>
        <w:rPr>
          <w:rStyle w:val="11"/>
          <w:rFonts w:hint="default" w:ascii="Arial" w:hAnsi="Arial" w:cs="Arial"/>
          <w:sz w:val="17"/>
          <w:szCs w:val="17"/>
        </w:rPr>
        <w:fldChar w:fldCharType="end"/>
      </w:r>
      <w:r>
        <w:rPr>
          <w:rFonts w:hint="default" w:ascii="Arial" w:hAnsi="Arial" w:cs="Arial"/>
          <w:sz w:val="17"/>
          <w:szCs w:val="17"/>
        </w:rPr>
        <w:t>)</w:t>
      </w:r>
    </w:p>
    <w:p w14:paraId="392DBB20">
      <w:pPr>
        <w:pStyle w:val="304"/>
        <w:numPr>
          <w:ilvl w:val="2"/>
          <w:numId w:val="0"/>
        </w:numPr>
        <w:spacing w:before="0" w:after="0" w:line="240" w:lineRule="auto"/>
        <w:rPr>
          <w:rFonts w:hint="default" w:ascii="Arial" w:hAnsi="Arial" w:cs="Arial"/>
          <w:sz w:val="17"/>
          <w:szCs w:val="17"/>
        </w:rPr>
      </w:pPr>
      <w:r>
        <w:rPr>
          <w:rFonts w:hint="default" w:ascii="Arial" w:hAnsi="Arial" w:cs="Arial"/>
          <w:sz w:val="17"/>
          <w:szCs w:val="17"/>
        </w:rPr>
        <w:t>10.10.  Se a multa aplicada e as indenizações cabíveis forem superiores ao valor do pagamento eventualmente devido pelo Contratante ao Contratado, além da perda desse valor, a diferença será descontada da garantia prestada ou será cobrada judicialmente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"art156§8" </w:instrText>
      </w:r>
      <w:r>
        <w:rPr>
          <w:rFonts w:hint="default" w:ascii="Arial" w:hAnsi="Arial" w:cs="Arial"/>
          <w:sz w:val="17"/>
          <w:szCs w:val="17"/>
        </w:rPr>
        <w:fldChar w:fldCharType="separate"/>
      </w:r>
      <w:r>
        <w:rPr>
          <w:rStyle w:val="11"/>
          <w:rFonts w:hint="default" w:ascii="Arial" w:hAnsi="Arial" w:cs="Arial"/>
          <w:sz w:val="17"/>
          <w:szCs w:val="17"/>
        </w:rPr>
        <w:t>art. 156, §8º, da Lei nº 14.133, de 2021</w:t>
      </w:r>
      <w:r>
        <w:rPr>
          <w:rStyle w:val="11"/>
          <w:rFonts w:hint="default" w:ascii="Arial" w:hAnsi="Arial" w:cs="Arial"/>
          <w:sz w:val="17"/>
          <w:szCs w:val="17"/>
        </w:rPr>
        <w:fldChar w:fldCharType="end"/>
      </w:r>
      <w:r>
        <w:rPr>
          <w:rFonts w:hint="default" w:ascii="Arial" w:hAnsi="Arial" w:cs="Arial"/>
          <w:sz w:val="17"/>
          <w:szCs w:val="17"/>
        </w:rPr>
        <w:t>).</w:t>
      </w:r>
    </w:p>
    <w:p w14:paraId="63C494F8">
      <w:pPr>
        <w:pStyle w:val="304"/>
        <w:numPr>
          <w:ilvl w:val="2"/>
          <w:numId w:val="0"/>
        </w:numPr>
        <w:spacing w:before="0" w:after="0" w:line="240" w:lineRule="auto"/>
        <w:rPr>
          <w:rFonts w:hint="default" w:ascii="Arial" w:hAnsi="Arial" w:cs="Arial"/>
          <w:sz w:val="17"/>
          <w:szCs w:val="17"/>
        </w:rPr>
      </w:pPr>
      <w:r>
        <w:rPr>
          <w:rFonts w:hint="default" w:ascii="Arial" w:hAnsi="Arial" w:cs="Arial"/>
          <w:sz w:val="17"/>
          <w:szCs w:val="17"/>
        </w:rPr>
        <w:t>10.11.  Previamente ao encaminhamento à cobrança judicial, a multa poderá ser recolhida administrativamente no prazo determinado pela Comissão Processante, a contar da data do recebimento da comunicação enviada pela autoridade competente.</w:t>
      </w:r>
      <w:bookmarkStart w:id="57" w:name="_Hlk78351618"/>
      <w:bookmarkEnd w:id="57"/>
    </w:p>
    <w:p w14:paraId="58A0033D">
      <w:pPr>
        <w:pStyle w:val="303"/>
        <w:numPr>
          <w:ilvl w:val="1"/>
          <w:numId w:val="0"/>
        </w:numPr>
        <w:spacing w:before="0" w:after="0" w:line="240" w:lineRule="auto"/>
        <w:rPr>
          <w:rFonts w:hint="default" w:ascii="Arial" w:hAnsi="Arial" w:cs="Arial"/>
          <w:sz w:val="17"/>
          <w:szCs w:val="17"/>
        </w:rPr>
      </w:pPr>
      <w:r>
        <w:rPr>
          <w:rFonts w:hint="default" w:ascii="Arial" w:hAnsi="Arial" w:cs="Arial"/>
          <w:sz w:val="17"/>
          <w:szCs w:val="17"/>
        </w:rPr>
        <w:t xml:space="preserve">10.12.  A aplicação das sanções realizar-se-á em processo administrativo que assegure o contraditório e a ampla defesa ao Contratado, observando-se o procedimento previsto no </w:t>
      </w:r>
      <w:r>
        <w:rPr>
          <w:rFonts w:hint="default" w:ascii="Arial" w:hAnsi="Arial" w:cs="Arial"/>
          <w:b/>
          <w:bCs/>
          <w:sz w:val="17"/>
          <w:szCs w:val="17"/>
        </w:rPr>
        <w:t xml:space="preserve">caput </w:t>
      </w:r>
      <w:r>
        <w:rPr>
          <w:rFonts w:hint="default" w:ascii="Arial" w:hAnsi="Arial" w:cs="Arial"/>
          <w:sz w:val="17"/>
          <w:szCs w:val="17"/>
        </w:rPr>
        <w:t xml:space="preserve">e parágrafos do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"art158" </w:instrText>
      </w:r>
      <w:r>
        <w:rPr>
          <w:rFonts w:hint="default" w:ascii="Arial" w:hAnsi="Arial" w:cs="Arial"/>
          <w:sz w:val="17"/>
          <w:szCs w:val="17"/>
        </w:rPr>
        <w:fldChar w:fldCharType="separate"/>
      </w:r>
      <w:r>
        <w:rPr>
          <w:rStyle w:val="11"/>
          <w:rFonts w:hint="default" w:ascii="Arial" w:hAnsi="Arial" w:cs="Arial"/>
          <w:sz w:val="17"/>
          <w:szCs w:val="17"/>
        </w:rPr>
        <w:t>art. 158 da Lei nº 14.133, de 2021</w:t>
      </w:r>
      <w:r>
        <w:rPr>
          <w:rStyle w:val="11"/>
          <w:rFonts w:hint="default" w:ascii="Arial" w:hAnsi="Arial" w:cs="Arial"/>
          <w:sz w:val="17"/>
          <w:szCs w:val="17"/>
        </w:rPr>
        <w:fldChar w:fldCharType="end"/>
      </w:r>
      <w:r>
        <w:rPr>
          <w:rFonts w:hint="default" w:ascii="Arial" w:hAnsi="Arial" w:cs="Arial"/>
          <w:sz w:val="17"/>
          <w:szCs w:val="17"/>
        </w:rPr>
        <w:t>, para as penalidades de impedimento de licitar e contratar e de declaração de inidoneidade para licitar ou contratar.</w:t>
      </w:r>
    </w:p>
    <w:p w14:paraId="7946F9E9">
      <w:pPr>
        <w:pStyle w:val="303"/>
        <w:numPr>
          <w:ilvl w:val="1"/>
          <w:numId w:val="0"/>
        </w:numPr>
        <w:spacing w:before="0" w:after="0" w:line="240" w:lineRule="auto"/>
        <w:rPr>
          <w:rFonts w:hint="default" w:ascii="Arial" w:hAnsi="Arial" w:cs="Arial"/>
          <w:sz w:val="17"/>
          <w:szCs w:val="17"/>
        </w:rPr>
      </w:pPr>
      <w:r>
        <w:rPr>
          <w:rFonts w:hint="default" w:ascii="Arial" w:hAnsi="Arial" w:cs="Arial"/>
          <w:sz w:val="17"/>
          <w:szCs w:val="17"/>
        </w:rPr>
        <w:t>10.13.  Na aplicação das sanções serão considerados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"art156§1" </w:instrText>
      </w:r>
      <w:r>
        <w:rPr>
          <w:rFonts w:hint="default" w:ascii="Arial" w:hAnsi="Arial" w:cs="Arial"/>
          <w:sz w:val="17"/>
          <w:szCs w:val="17"/>
        </w:rPr>
        <w:fldChar w:fldCharType="separate"/>
      </w:r>
      <w:r>
        <w:rPr>
          <w:rStyle w:val="11"/>
          <w:rFonts w:hint="default" w:ascii="Arial" w:hAnsi="Arial" w:cs="Arial"/>
          <w:sz w:val="17"/>
          <w:szCs w:val="17"/>
        </w:rPr>
        <w:t>art. 156, §1º, da Lei nº 14.133, de 2021</w:t>
      </w:r>
      <w:r>
        <w:rPr>
          <w:rStyle w:val="11"/>
          <w:rFonts w:hint="default" w:ascii="Arial" w:hAnsi="Arial" w:cs="Arial"/>
          <w:sz w:val="17"/>
          <w:szCs w:val="17"/>
        </w:rPr>
        <w:fldChar w:fldCharType="end"/>
      </w:r>
      <w:r>
        <w:rPr>
          <w:rFonts w:hint="default" w:ascii="Arial" w:hAnsi="Arial" w:cs="Arial"/>
          <w:sz w:val="17"/>
          <w:szCs w:val="17"/>
        </w:rPr>
        <w:t>):</w:t>
      </w:r>
    </w:p>
    <w:p w14:paraId="5E2A5E77">
      <w:pPr>
        <w:numPr>
          <w:ilvl w:val="0"/>
          <w:numId w:val="34"/>
        </w:numPr>
        <w:ind w:left="0" w:leftChars="0" w:firstLine="0" w:firstLineChars="0"/>
        <w:contextualSpacing/>
        <w:jc w:val="both"/>
        <w:rPr>
          <w:rFonts w:hint="default" w:ascii="Arial" w:hAnsi="Arial" w:eastAsia="Arial" w:cs="Arial"/>
          <w:sz w:val="17"/>
          <w:szCs w:val="17"/>
        </w:rPr>
      </w:pPr>
      <w:r>
        <w:rPr>
          <w:rFonts w:hint="default" w:ascii="Arial" w:hAnsi="Arial" w:eastAsia="Arial" w:cs="Arial"/>
          <w:sz w:val="17"/>
          <w:szCs w:val="17"/>
        </w:rPr>
        <w:t>a natureza e a gravidade da infração cometida;</w:t>
      </w:r>
    </w:p>
    <w:p w14:paraId="3A610857">
      <w:pPr>
        <w:numPr>
          <w:ilvl w:val="0"/>
          <w:numId w:val="34"/>
        </w:numPr>
        <w:ind w:left="0" w:leftChars="0" w:firstLine="0" w:firstLineChars="0"/>
        <w:contextualSpacing/>
        <w:jc w:val="both"/>
        <w:rPr>
          <w:rFonts w:hint="default" w:ascii="Arial" w:hAnsi="Arial" w:eastAsia="Arial" w:cs="Arial"/>
          <w:sz w:val="17"/>
          <w:szCs w:val="17"/>
        </w:rPr>
      </w:pPr>
      <w:r>
        <w:rPr>
          <w:rFonts w:hint="default" w:ascii="Arial" w:hAnsi="Arial" w:eastAsia="Arial" w:cs="Arial"/>
          <w:sz w:val="17"/>
          <w:szCs w:val="17"/>
        </w:rPr>
        <w:t>as peculiaridades do caso concreto;</w:t>
      </w:r>
    </w:p>
    <w:p w14:paraId="1F709006">
      <w:pPr>
        <w:numPr>
          <w:ilvl w:val="0"/>
          <w:numId w:val="34"/>
        </w:numPr>
        <w:ind w:left="0" w:leftChars="0" w:firstLine="0" w:firstLineChars="0"/>
        <w:contextualSpacing/>
        <w:jc w:val="both"/>
        <w:rPr>
          <w:rFonts w:hint="default" w:ascii="Arial" w:hAnsi="Arial" w:eastAsia="Arial" w:cs="Arial"/>
          <w:sz w:val="17"/>
          <w:szCs w:val="17"/>
        </w:rPr>
      </w:pPr>
      <w:r>
        <w:rPr>
          <w:rFonts w:hint="default" w:ascii="Arial" w:hAnsi="Arial" w:eastAsia="Arial" w:cs="Arial"/>
          <w:sz w:val="17"/>
          <w:szCs w:val="17"/>
        </w:rPr>
        <w:t>as circunstâncias agravantes ou atenuantes;</w:t>
      </w:r>
    </w:p>
    <w:p w14:paraId="505F26F7">
      <w:pPr>
        <w:numPr>
          <w:ilvl w:val="0"/>
          <w:numId w:val="34"/>
        </w:numPr>
        <w:ind w:left="0" w:leftChars="0" w:firstLine="0" w:firstLineChars="0"/>
        <w:contextualSpacing/>
        <w:jc w:val="both"/>
        <w:rPr>
          <w:rFonts w:hint="default" w:ascii="Arial" w:hAnsi="Arial" w:eastAsia="Arial" w:cs="Arial"/>
          <w:sz w:val="17"/>
          <w:szCs w:val="17"/>
        </w:rPr>
      </w:pPr>
      <w:r>
        <w:rPr>
          <w:rFonts w:hint="default" w:ascii="Arial" w:hAnsi="Arial" w:eastAsia="Arial" w:cs="Arial"/>
          <w:sz w:val="17"/>
          <w:szCs w:val="17"/>
        </w:rPr>
        <w:t>os danos que dela provierem para o Contratante;</w:t>
      </w:r>
    </w:p>
    <w:p w14:paraId="2D9F21B9">
      <w:pPr>
        <w:numPr>
          <w:ilvl w:val="0"/>
          <w:numId w:val="34"/>
        </w:numPr>
        <w:ind w:left="0" w:leftChars="0" w:firstLine="0" w:firstLineChars="0"/>
        <w:contextualSpacing/>
        <w:jc w:val="both"/>
        <w:rPr>
          <w:rFonts w:hint="default" w:ascii="Arial" w:hAnsi="Arial" w:eastAsia="Arial" w:cs="Arial"/>
          <w:sz w:val="17"/>
          <w:szCs w:val="17"/>
        </w:rPr>
      </w:pPr>
      <w:r>
        <w:rPr>
          <w:rFonts w:hint="default" w:ascii="Arial" w:hAnsi="Arial" w:eastAsia="Arial" w:cs="Arial"/>
          <w:sz w:val="17"/>
          <w:szCs w:val="17"/>
        </w:rPr>
        <w:t>a implantação ou o aperfeiçoamento de programa de integridade, conforme normas e orientações dos órgãos de controle.</w:t>
      </w:r>
    </w:p>
    <w:p w14:paraId="10CBCB3F">
      <w:pPr>
        <w:pStyle w:val="303"/>
        <w:numPr>
          <w:ilvl w:val="1"/>
          <w:numId w:val="0"/>
        </w:numPr>
        <w:spacing w:before="0" w:after="0" w:line="240" w:lineRule="auto"/>
        <w:rPr>
          <w:rFonts w:hint="default" w:ascii="Arial" w:hAnsi="Arial" w:cs="Arial"/>
          <w:sz w:val="17"/>
          <w:szCs w:val="17"/>
        </w:rPr>
      </w:pPr>
      <w:r>
        <w:rPr>
          <w:rFonts w:hint="default" w:ascii="Arial" w:hAnsi="Arial" w:cs="Arial"/>
          <w:sz w:val="17"/>
          <w:szCs w:val="17"/>
        </w:rPr>
        <w:t xml:space="preserve">10.14.  Os atos previstos como infrações administrativas na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w:instrText>
      </w:r>
      <w:r>
        <w:rPr>
          <w:rFonts w:hint="default" w:ascii="Arial" w:hAnsi="Arial" w:cs="Arial"/>
          <w:sz w:val="17"/>
          <w:szCs w:val="17"/>
        </w:rPr>
        <w:fldChar w:fldCharType="separate"/>
      </w:r>
      <w:r>
        <w:rPr>
          <w:rStyle w:val="11"/>
          <w:rFonts w:hint="default" w:ascii="Arial" w:hAnsi="Arial" w:cs="Arial"/>
          <w:sz w:val="17"/>
          <w:szCs w:val="17"/>
        </w:rPr>
        <w:t>Lei nº 14.133, de 2021</w:t>
      </w:r>
      <w:r>
        <w:rPr>
          <w:rStyle w:val="11"/>
          <w:rFonts w:hint="default" w:ascii="Arial" w:hAnsi="Arial" w:cs="Arial"/>
          <w:sz w:val="17"/>
          <w:szCs w:val="17"/>
        </w:rPr>
        <w:fldChar w:fldCharType="end"/>
      </w:r>
      <w:r>
        <w:rPr>
          <w:rFonts w:hint="default" w:ascii="Arial" w:hAnsi="Arial" w:cs="Arial"/>
          <w:sz w:val="17"/>
          <w:szCs w:val="17"/>
        </w:rPr>
        <w:t xml:space="preserve">, ou em outras leis de licitações e contratos da Administração Pública que também sejam tipificados como atos lesivos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"https://www.planalto.gov.br/ccivil_03/_ato2011-2014/2013/lei/l12846.htm" </w:instrText>
      </w:r>
      <w:r>
        <w:rPr>
          <w:rFonts w:hint="default" w:ascii="Arial" w:hAnsi="Arial" w:cs="Arial"/>
          <w:sz w:val="17"/>
          <w:szCs w:val="17"/>
        </w:rPr>
        <w:fldChar w:fldCharType="separate"/>
      </w:r>
      <w:r>
        <w:rPr>
          <w:rStyle w:val="11"/>
          <w:rFonts w:hint="default" w:ascii="Arial" w:hAnsi="Arial" w:cs="Arial"/>
          <w:sz w:val="17"/>
          <w:szCs w:val="17"/>
        </w:rPr>
        <w:t>na Lei nº 12.846, de 2013</w:t>
      </w:r>
      <w:r>
        <w:rPr>
          <w:rStyle w:val="11"/>
          <w:rFonts w:hint="default" w:ascii="Arial" w:hAnsi="Arial" w:cs="Arial"/>
          <w:sz w:val="17"/>
          <w:szCs w:val="17"/>
        </w:rPr>
        <w:fldChar w:fldCharType="end"/>
      </w:r>
      <w:r>
        <w:rPr>
          <w:rFonts w:hint="default" w:ascii="Arial" w:hAnsi="Arial" w:cs="Arial"/>
          <w:sz w:val="17"/>
          <w:szCs w:val="17"/>
        </w:rPr>
        <w:t xml:space="preserve">, serão apurados e julgados conjuntamente, nos mesmos autos, observados o rito procedimental e autoridade competente definidos na referida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"art159" </w:instrText>
      </w:r>
      <w:r>
        <w:rPr>
          <w:rFonts w:hint="default" w:ascii="Arial" w:hAnsi="Arial" w:cs="Arial"/>
          <w:sz w:val="17"/>
          <w:szCs w:val="17"/>
        </w:rPr>
        <w:fldChar w:fldCharType="separate"/>
      </w:r>
      <w:r>
        <w:rPr>
          <w:rStyle w:val="11"/>
          <w:rFonts w:hint="default" w:ascii="Arial" w:hAnsi="Arial" w:cs="Arial"/>
          <w:sz w:val="17"/>
          <w:szCs w:val="17"/>
        </w:rPr>
        <w:t>Lei (art. 159</w:t>
      </w:r>
      <w:r>
        <w:rPr>
          <w:rStyle w:val="11"/>
          <w:rFonts w:hint="default" w:ascii="Arial" w:hAnsi="Arial" w:cs="Arial"/>
          <w:sz w:val="17"/>
          <w:szCs w:val="17"/>
        </w:rPr>
        <w:fldChar w:fldCharType="end"/>
      </w:r>
      <w:r>
        <w:rPr>
          <w:rFonts w:hint="default" w:ascii="Arial" w:hAnsi="Arial" w:cs="Arial"/>
          <w:sz w:val="17"/>
          <w:szCs w:val="17"/>
        </w:rPr>
        <w:t>).</w:t>
      </w:r>
    </w:p>
    <w:p w14:paraId="39BFE91C">
      <w:pPr>
        <w:pStyle w:val="303"/>
        <w:numPr>
          <w:ilvl w:val="1"/>
          <w:numId w:val="0"/>
        </w:numPr>
        <w:spacing w:before="0" w:after="0" w:line="240" w:lineRule="auto"/>
        <w:rPr>
          <w:rFonts w:hint="default" w:ascii="Arial" w:hAnsi="Arial" w:cs="Arial"/>
          <w:i/>
          <w:iCs/>
          <w:sz w:val="17"/>
          <w:szCs w:val="17"/>
        </w:rPr>
      </w:pPr>
      <w:r>
        <w:rPr>
          <w:rFonts w:hint="default" w:ascii="Arial" w:hAnsi="Arial" w:cs="Arial"/>
          <w:sz w:val="17"/>
          <w:szCs w:val="17"/>
        </w:rPr>
        <w:t>10.15.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"art160" </w:instrText>
      </w:r>
      <w:r>
        <w:rPr>
          <w:rFonts w:hint="default" w:ascii="Arial" w:hAnsi="Arial" w:cs="Arial"/>
          <w:sz w:val="17"/>
          <w:szCs w:val="17"/>
        </w:rPr>
        <w:fldChar w:fldCharType="separate"/>
      </w:r>
      <w:r>
        <w:rPr>
          <w:rStyle w:val="11"/>
          <w:rFonts w:hint="default" w:ascii="Arial" w:hAnsi="Arial" w:cs="Arial"/>
          <w:sz w:val="17"/>
          <w:szCs w:val="17"/>
        </w:rPr>
        <w:t>art. 160, da Lei nº 14.133, de 2021</w:t>
      </w:r>
      <w:r>
        <w:rPr>
          <w:rStyle w:val="11"/>
          <w:rFonts w:hint="default" w:ascii="Arial" w:hAnsi="Arial" w:cs="Arial"/>
          <w:sz w:val="17"/>
          <w:szCs w:val="17"/>
        </w:rPr>
        <w:fldChar w:fldCharType="end"/>
      </w:r>
      <w:r>
        <w:rPr>
          <w:rFonts w:hint="default" w:ascii="Arial" w:hAnsi="Arial" w:cs="Arial"/>
          <w:sz w:val="17"/>
          <w:szCs w:val="17"/>
        </w:rPr>
        <w:t>)</w:t>
      </w:r>
    </w:p>
    <w:p w14:paraId="7EF7DB72">
      <w:pPr>
        <w:pStyle w:val="303"/>
        <w:numPr>
          <w:ilvl w:val="1"/>
          <w:numId w:val="0"/>
        </w:numPr>
        <w:spacing w:before="0" w:after="0" w:line="240" w:lineRule="auto"/>
        <w:rPr>
          <w:rFonts w:hint="default" w:ascii="Arial" w:hAnsi="Arial" w:cs="Arial"/>
          <w:i/>
          <w:iCs/>
          <w:sz w:val="17"/>
          <w:szCs w:val="17"/>
        </w:rPr>
      </w:pPr>
      <w:r>
        <w:rPr>
          <w:rFonts w:hint="default" w:ascii="Arial" w:hAnsi="Arial" w:cs="Arial"/>
          <w:sz w:val="17"/>
          <w:szCs w:val="17"/>
        </w:rPr>
        <w:t>10.16.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"art161" \h </w:instrText>
      </w:r>
      <w:r>
        <w:rPr>
          <w:rFonts w:hint="default" w:ascii="Arial" w:hAnsi="Arial" w:cs="Arial"/>
          <w:sz w:val="17"/>
          <w:szCs w:val="17"/>
        </w:rPr>
        <w:fldChar w:fldCharType="separate"/>
      </w:r>
      <w:r>
        <w:rPr>
          <w:rStyle w:val="11"/>
          <w:rFonts w:hint="default" w:ascii="Arial" w:hAnsi="Arial" w:cs="Arial"/>
          <w:sz w:val="17"/>
          <w:szCs w:val="17"/>
        </w:rPr>
        <w:t>Art. 161, da Lei nº 14.133, de 2021</w:t>
      </w:r>
      <w:r>
        <w:rPr>
          <w:rStyle w:val="11"/>
          <w:rFonts w:hint="default" w:ascii="Arial" w:hAnsi="Arial" w:cs="Arial"/>
          <w:sz w:val="17"/>
          <w:szCs w:val="17"/>
        </w:rPr>
        <w:fldChar w:fldCharType="end"/>
      </w:r>
      <w:r>
        <w:rPr>
          <w:rFonts w:hint="default" w:ascii="Arial" w:hAnsi="Arial" w:cs="Arial"/>
          <w:sz w:val="17"/>
          <w:szCs w:val="17"/>
        </w:rPr>
        <w:t>)</w:t>
      </w:r>
    </w:p>
    <w:p w14:paraId="025610E9">
      <w:pPr>
        <w:pStyle w:val="303"/>
        <w:numPr>
          <w:ilvl w:val="1"/>
          <w:numId w:val="0"/>
        </w:numPr>
        <w:spacing w:before="0" w:after="0" w:line="240" w:lineRule="auto"/>
        <w:rPr>
          <w:rFonts w:hint="default" w:ascii="Arial" w:hAnsi="Arial" w:cs="Arial"/>
          <w:i/>
          <w:iCs/>
          <w:sz w:val="17"/>
          <w:szCs w:val="17"/>
        </w:rPr>
      </w:pPr>
      <w:r>
        <w:rPr>
          <w:rFonts w:hint="default" w:ascii="Arial" w:hAnsi="Arial" w:cs="Arial"/>
          <w:sz w:val="17"/>
          <w:szCs w:val="17"/>
        </w:rPr>
        <w:t xml:space="preserve">10.17.  As sanções de impedimento de licitar e contratar e declaração de inidoneidade para licitar ou contratar são passíveis de reabilitação na forma do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"art163" </w:instrText>
      </w:r>
      <w:r>
        <w:rPr>
          <w:rFonts w:hint="default" w:ascii="Arial" w:hAnsi="Arial" w:cs="Arial"/>
          <w:sz w:val="17"/>
          <w:szCs w:val="17"/>
        </w:rPr>
        <w:fldChar w:fldCharType="separate"/>
      </w:r>
      <w:r>
        <w:rPr>
          <w:rStyle w:val="11"/>
          <w:rFonts w:hint="default" w:ascii="Arial" w:hAnsi="Arial" w:cs="Arial"/>
          <w:sz w:val="17"/>
          <w:szCs w:val="17"/>
        </w:rPr>
        <w:t>art. 163 da Lei nº 14.133/21.</w:t>
      </w:r>
      <w:r>
        <w:rPr>
          <w:rStyle w:val="11"/>
          <w:rFonts w:hint="default" w:ascii="Arial" w:hAnsi="Arial" w:cs="Arial"/>
          <w:sz w:val="17"/>
          <w:szCs w:val="17"/>
        </w:rPr>
        <w:fldChar w:fldCharType="end"/>
      </w:r>
    </w:p>
    <w:p w14:paraId="47966773">
      <w:pPr>
        <w:spacing w:line="240" w:lineRule="auto"/>
        <w:jc w:val="both"/>
        <w:rPr>
          <w:rStyle w:val="11"/>
          <w:rFonts w:hint="default" w:ascii="Arial" w:hAnsi="Arial" w:cs="Arial"/>
          <w:sz w:val="17"/>
          <w:szCs w:val="17"/>
          <w:lang w:val="pt-BR"/>
        </w:rPr>
      </w:pPr>
      <w:r>
        <w:rPr>
          <w:rFonts w:hint="default" w:ascii="Arial" w:hAnsi="Arial" w:cs="Arial"/>
          <w:sz w:val="17"/>
          <w:szCs w:val="17"/>
        </w:rPr>
        <w:t xml:space="preserve">10.18.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Pr>
          <w:rFonts w:hint="default" w:ascii="Arial" w:hAnsi="Arial" w:cs="Arial"/>
          <w:sz w:val="17"/>
          <w:szCs w:val="17"/>
        </w:rPr>
        <w:fldChar w:fldCharType="begin"/>
      </w:r>
      <w:r>
        <w:rPr>
          <w:rFonts w:hint="default" w:ascii="Arial" w:hAnsi="Arial" w:cs="Arial"/>
          <w:sz w:val="17"/>
          <w:szCs w:val="17"/>
        </w:rPr>
        <w:instrText xml:space="preserve"> HYPERLINK "https://www.gov.br/compras/pt-br/acesso-a-informacao/legislacao/instrucoes-normativas/instrucao-normativa-seges-me-no-26-de-13-de-abril-de-2022" </w:instrText>
      </w:r>
      <w:r>
        <w:rPr>
          <w:rFonts w:hint="default" w:ascii="Arial" w:hAnsi="Arial" w:cs="Arial"/>
          <w:sz w:val="17"/>
          <w:szCs w:val="17"/>
        </w:rPr>
        <w:fldChar w:fldCharType="separate"/>
      </w:r>
      <w:r>
        <w:rPr>
          <w:rStyle w:val="11"/>
          <w:rFonts w:hint="default" w:ascii="Arial" w:hAnsi="Arial" w:cs="Arial"/>
          <w:sz w:val="17"/>
          <w:szCs w:val="17"/>
        </w:rPr>
        <w:t>Instrução Normativa SEGES/ME nº 26, de 13 de abril de 2022</w:t>
      </w:r>
      <w:r>
        <w:rPr>
          <w:rStyle w:val="11"/>
          <w:rFonts w:hint="default" w:ascii="Arial" w:hAnsi="Arial" w:cs="Arial"/>
          <w:sz w:val="17"/>
          <w:szCs w:val="17"/>
        </w:rPr>
        <w:fldChar w:fldCharType="end"/>
      </w:r>
      <w:r>
        <w:rPr>
          <w:rStyle w:val="11"/>
          <w:rFonts w:hint="default" w:ascii="Arial" w:hAnsi="Arial" w:cs="Arial"/>
          <w:sz w:val="17"/>
          <w:szCs w:val="17"/>
          <w:lang w:val="pt-BR"/>
        </w:rPr>
        <w:t>.</w:t>
      </w:r>
    </w:p>
    <w:p w14:paraId="35DA58DB">
      <w:pPr>
        <w:spacing w:line="240" w:lineRule="auto"/>
        <w:jc w:val="both"/>
        <w:rPr>
          <w:rStyle w:val="11"/>
          <w:rFonts w:hint="default" w:ascii="Arial" w:hAnsi="Arial" w:cs="Arial"/>
          <w:sz w:val="17"/>
          <w:szCs w:val="17"/>
          <w:lang w:val="pt-BR"/>
        </w:rPr>
      </w:pPr>
    </w:p>
    <w:p w14:paraId="3098ECD6">
      <w:pPr>
        <w:spacing w:line="240" w:lineRule="auto"/>
        <w:jc w:val="both"/>
        <w:rPr>
          <w:rFonts w:hint="default" w:ascii="Arial" w:hAnsi="Arial" w:cs="Arial"/>
          <w:b/>
          <w:bCs/>
          <w:sz w:val="17"/>
          <w:szCs w:val="17"/>
        </w:rPr>
      </w:pPr>
    </w:p>
    <w:p w14:paraId="3D8F811A">
      <w:pPr>
        <w:spacing w:line="240" w:lineRule="auto"/>
        <w:jc w:val="both"/>
        <w:rPr>
          <w:rFonts w:hint="default" w:ascii="Arial" w:hAnsi="Arial" w:cs="Arial"/>
          <w:b/>
          <w:bCs/>
          <w:sz w:val="17"/>
          <w:szCs w:val="17"/>
        </w:rPr>
      </w:pPr>
    </w:p>
    <w:p w14:paraId="652E77F7">
      <w:pPr>
        <w:spacing w:line="240" w:lineRule="auto"/>
        <w:jc w:val="both"/>
        <w:rPr>
          <w:rFonts w:hint="default" w:ascii="Arial" w:hAnsi="Arial" w:cs="Arial"/>
          <w:b/>
          <w:bCs/>
          <w:sz w:val="17"/>
          <w:szCs w:val="17"/>
        </w:rPr>
      </w:pPr>
    </w:p>
    <w:p w14:paraId="50A89246">
      <w:pPr>
        <w:jc w:val="both"/>
        <w:rPr>
          <w:rFonts w:hint="default" w:ascii="Arial" w:hAnsi="Arial" w:cs="Arial"/>
          <w:b/>
          <w:bCs/>
          <w:sz w:val="17"/>
          <w:szCs w:val="17"/>
        </w:rPr>
      </w:pPr>
      <w:r>
        <w:rPr>
          <w:rFonts w:hint="default" w:ascii="Arial" w:hAnsi="Arial" w:cs="Arial"/>
          <w:b/>
          <w:bCs/>
          <w:sz w:val="17"/>
          <w:szCs w:val="17"/>
        </w:rPr>
        <w:t>CLÁUSULA DÉCIMA PRIMEIRA – DA ALTERAÇÃO OU ATUALIZAÇÃO DOS PREÇOS REGISTRADOS</w:t>
      </w:r>
    </w:p>
    <w:p w14:paraId="15A8EF68">
      <w:pPr>
        <w:pStyle w:val="303"/>
        <w:numPr>
          <w:ilvl w:val="0"/>
          <w:numId w:val="0"/>
        </w:numPr>
        <w:tabs>
          <w:tab w:val="left" w:pos="426"/>
          <w:tab w:val="left" w:pos="709"/>
        </w:tabs>
        <w:autoSpaceDE w:val="0"/>
        <w:autoSpaceDN w:val="0"/>
        <w:adjustRightInd w:val="0"/>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 </w:t>
      </w:r>
      <w:r>
        <w:rPr>
          <w:rFonts w:hint="default" w:ascii="Arial" w:hAnsi="Arial" w:cs="Arial"/>
          <w:sz w:val="17"/>
          <w:szCs w:val="17"/>
        </w:rPr>
        <w:t>Os preços registrados poderão ser alterados ou atualizados em decorrência de eventual redução dos preços pra</w:t>
      </w:r>
      <w:r>
        <w:rPr>
          <w:rFonts w:hint="default" w:ascii="Arial" w:hAnsi="Arial" w:eastAsia="Calibri" w:cs="Arial"/>
          <w:sz w:val="17"/>
          <w:szCs w:val="17"/>
        </w:rPr>
        <w:t>ti</w:t>
      </w:r>
      <w:r>
        <w:rPr>
          <w:rFonts w:hint="default" w:ascii="Arial" w:hAnsi="Arial" w:cs="Arial"/>
          <w:sz w:val="17"/>
          <w:szCs w:val="17"/>
        </w:rPr>
        <w:t>cados no mercado ou de fato que eleve o custo dos bens, das obras ou dos serviços registrados, nas seguintes situações:</w:t>
      </w:r>
    </w:p>
    <w:p w14:paraId="10828F0E">
      <w:pPr>
        <w:pStyle w:val="316"/>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11.1.1 </w:t>
      </w:r>
      <w:r>
        <w:rPr>
          <w:rFonts w:hint="default" w:ascii="Arial" w:hAnsi="Arial" w:cs="Arial"/>
          <w:sz w:val="17"/>
          <w:szCs w:val="17"/>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76F17EF">
      <w:pPr>
        <w:pStyle w:val="316"/>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11.1.2 </w:t>
      </w:r>
      <w:r>
        <w:rPr>
          <w:rFonts w:hint="default" w:ascii="Arial" w:hAnsi="Arial" w:cs="Arial"/>
          <w:sz w:val="17"/>
          <w:szCs w:val="17"/>
        </w:rPr>
        <w:t>Em caso de criação, alteração ou ex</w:t>
      </w:r>
      <w:r>
        <w:rPr>
          <w:rFonts w:hint="default" w:ascii="Arial" w:hAnsi="Arial" w:eastAsia="Calibri" w:cs="Arial"/>
          <w:sz w:val="17"/>
          <w:szCs w:val="17"/>
        </w:rPr>
        <w:t>ti</w:t>
      </w:r>
      <w:r>
        <w:rPr>
          <w:rFonts w:hint="default" w:ascii="Arial" w:hAnsi="Arial" w:cs="Arial"/>
          <w:sz w:val="17"/>
          <w:szCs w:val="17"/>
        </w:rPr>
        <w:t xml:space="preserve">nção de quaisquer tributos ou encargos legais ou a superveniência de disposições legais, com comprovada repercussão sobre os preços registrados; </w:t>
      </w:r>
    </w:p>
    <w:p w14:paraId="3FCC1D25">
      <w:pPr>
        <w:pStyle w:val="316"/>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11.1.3 </w:t>
      </w:r>
      <w:r>
        <w:rPr>
          <w:rFonts w:hint="default" w:ascii="Arial" w:hAnsi="Arial" w:cs="Arial"/>
          <w:sz w:val="17"/>
          <w:szCs w:val="17"/>
        </w:rPr>
        <w:t>Na hipótese de previsão no edital ou no aviso de contratação direta de cláusula de reajustamento ou repactuação sobre os preços registrados, nos termos da Lei nº 14.133, de 2021.</w:t>
      </w:r>
    </w:p>
    <w:p w14:paraId="3B027C81">
      <w:pPr>
        <w:pStyle w:val="318"/>
        <w:numPr>
          <w:ilvl w:val="0"/>
          <w:numId w:val="0"/>
        </w:numPr>
        <w:tabs>
          <w:tab w:val="left" w:pos="709"/>
          <w:tab w:val="left" w:pos="851"/>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11.1.4 </w:t>
      </w:r>
      <w:r>
        <w:rPr>
          <w:rFonts w:hint="default" w:ascii="Arial" w:hAnsi="Arial" w:cs="Arial"/>
          <w:sz w:val="17"/>
          <w:szCs w:val="17"/>
        </w:rPr>
        <w:t xml:space="preserve">No caso do reajustamento, deverá ser respeitada a contagem da anualidade e o índice previstos para a contratação;  </w:t>
      </w:r>
    </w:p>
    <w:p w14:paraId="09F11F00">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r>
        <w:rPr>
          <w:rFonts w:hint="default" w:ascii="Arial" w:hAnsi="Arial" w:cs="Arial"/>
          <w:sz w:val="17"/>
          <w:szCs w:val="17"/>
          <w:lang w:val="pt-BR"/>
        </w:rPr>
        <w:t>11.1.4.1 Í</w:t>
      </w:r>
      <w:r>
        <w:rPr>
          <w:rFonts w:hint="default" w:ascii="Arial" w:hAnsi="Arial" w:cs="Arial"/>
          <w:sz w:val="17"/>
          <w:szCs w:val="17"/>
        </w:rPr>
        <w:t>ndice IPCA, ou outro índice que o Governo Federal ou a Administração Municipal venha a adotar para os Contratos da espécie. Se o mês da assinatura do aditamento contratual não houver sido publicado o índice referido e sua variação, será usado a variação dos imediatamente 12 (doze) meses anteriores.</w:t>
      </w:r>
    </w:p>
    <w:p w14:paraId="4707ECC3">
      <w:pPr>
        <w:pStyle w:val="318"/>
        <w:numPr>
          <w:ilvl w:val="0"/>
          <w:numId w:val="0"/>
        </w:numPr>
        <w:tabs>
          <w:tab w:val="left" w:pos="709"/>
          <w:tab w:val="left" w:pos="851"/>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11.1.5 </w:t>
      </w:r>
      <w:r>
        <w:rPr>
          <w:rFonts w:hint="default" w:ascii="Arial" w:hAnsi="Arial" w:cs="Arial"/>
          <w:sz w:val="17"/>
          <w:szCs w:val="17"/>
        </w:rPr>
        <w:t>No caso da repactuação, poderá ser a pedido do interessado, conforme critérios definidos para a contratação.</w:t>
      </w:r>
    </w:p>
    <w:p w14:paraId="72E2FD26">
      <w:pPr>
        <w:spacing w:line="240" w:lineRule="auto"/>
        <w:jc w:val="both"/>
        <w:rPr>
          <w:rFonts w:hint="default" w:ascii="Arial" w:hAnsi="Arial" w:cs="Arial"/>
          <w:bCs/>
          <w:sz w:val="17"/>
          <w:szCs w:val="17"/>
        </w:rPr>
      </w:pPr>
    </w:p>
    <w:p w14:paraId="5926FFFC">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SEGUNDA- CONDIÇÕES PARA CONTRATAÇÃO </w:t>
      </w:r>
    </w:p>
    <w:p w14:paraId="0EB54A52">
      <w:pPr>
        <w:spacing w:line="240" w:lineRule="auto"/>
        <w:jc w:val="both"/>
        <w:rPr>
          <w:rFonts w:hint="default" w:ascii="Arial" w:hAnsi="Arial" w:cs="Arial"/>
          <w:bCs/>
          <w:sz w:val="17"/>
          <w:szCs w:val="17"/>
        </w:rPr>
      </w:pPr>
      <w:r>
        <w:rPr>
          <w:rFonts w:hint="default" w:ascii="Arial" w:hAnsi="Arial" w:cs="Arial"/>
          <w:b/>
          <w:bCs/>
          <w:sz w:val="17"/>
          <w:szCs w:val="17"/>
        </w:rPr>
        <w:t xml:space="preserve">12.1. </w:t>
      </w:r>
      <w:r>
        <w:rPr>
          <w:rFonts w:hint="default" w:ascii="Arial" w:hAnsi="Arial" w:cs="Arial"/>
          <w:bCs/>
          <w:sz w:val="17"/>
          <w:szCs w:val="17"/>
        </w:rPr>
        <w:t>A contratação da(s) licitante(s) vencedora(s) do presente Pregão será representada pela expedição das Autorizações de Fornecimento ou assinatura do contrato, da qual constará, no mínimo, identificação da licitação, especificações resumidas do produto licitado, quantitativo, desconto/valor, fornecedor, local e prazo para entrega dos produtos;</w:t>
      </w:r>
    </w:p>
    <w:p w14:paraId="0D99BA22">
      <w:pPr>
        <w:spacing w:line="240" w:lineRule="auto"/>
        <w:jc w:val="both"/>
        <w:rPr>
          <w:rFonts w:hint="default" w:ascii="Arial" w:hAnsi="Arial" w:cs="Arial"/>
          <w:bCs/>
          <w:sz w:val="17"/>
          <w:szCs w:val="17"/>
        </w:rPr>
      </w:pPr>
      <w:r>
        <w:rPr>
          <w:rFonts w:hint="default" w:ascii="Arial" w:hAnsi="Arial" w:cs="Arial"/>
          <w:b/>
          <w:bCs/>
          <w:sz w:val="17"/>
          <w:szCs w:val="17"/>
        </w:rPr>
        <w:t xml:space="preserve">12.2. </w:t>
      </w:r>
      <w:r>
        <w:rPr>
          <w:rFonts w:hint="default" w:ascii="Arial" w:hAnsi="Arial" w:cs="Arial"/>
          <w:bCs/>
          <w:sz w:val="17"/>
          <w:szCs w:val="17"/>
        </w:rPr>
        <w:t>Ao assinar a Ata de Registro de Preços, a empresa obriga-se a prestar os serviços registrados, conforme especificações e condições contidas no edital, em seus anexos e também na proposta apresentada.</w:t>
      </w:r>
    </w:p>
    <w:p w14:paraId="135A8757">
      <w:pPr>
        <w:spacing w:line="240" w:lineRule="auto"/>
        <w:jc w:val="both"/>
        <w:rPr>
          <w:rFonts w:hint="default" w:ascii="Arial" w:hAnsi="Arial" w:cs="Arial"/>
          <w:b/>
          <w:bCs/>
          <w:sz w:val="17"/>
          <w:szCs w:val="17"/>
        </w:rPr>
      </w:pPr>
    </w:p>
    <w:p w14:paraId="47F58EE8">
      <w:pPr>
        <w:pStyle w:val="220"/>
        <w:numPr>
          <w:ilvl w:val="0"/>
          <w:numId w:val="0"/>
        </w:numPr>
        <w:tabs>
          <w:tab w:val="left" w:pos="992"/>
        </w:tabs>
        <w:spacing w:before="3" w:line="240" w:lineRule="auto"/>
        <w:ind w:leftChars="0"/>
        <w:jc w:val="both"/>
        <w:rPr>
          <w:rFonts w:hint="default" w:ascii="Arial" w:hAnsi="Arial" w:cs="Arial"/>
          <w:b/>
          <w:bCs/>
          <w:color w:val="auto"/>
          <w:sz w:val="17"/>
          <w:szCs w:val="17"/>
        </w:rPr>
      </w:pPr>
      <w:r>
        <w:rPr>
          <w:rFonts w:hint="default" w:ascii="Arial" w:hAnsi="Arial" w:cs="Arial"/>
          <w:b/>
          <w:bCs/>
          <w:color w:val="auto"/>
          <w:sz w:val="17"/>
          <w:szCs w:val="17"/>
        </w:rPr>
        <w:t>CLÁUSULA DÉCIMA</w:t>
      </w:r>
      <w:r>
        <w:rPr>
          <w:rFonts w:hint="default" w:ascii="Arial" w:hAnsi="Arial" w:cs="Arial"/>
          <w:b/>
          <w:bCs/>
          <w:color w:val="auto"/>
          <w:sz w:val="17"/>
          <w:szCs w:val="17"/>
          <w:lang w:val="pt-BR"/>
        </w:rPr>
        <w:t xml:space="preserve"> TERCEIRA</w:t>
      </w:r>
      <w:r>
        <w:rPr>
          <w:rFonts w:hint="default" w:ascii="Arial" w:hAnsi="Arial" w:cs="Arial"/>
          <w:b/>
          <w:bCs/>
          <w:color w:val="auto"/>
          <w:sz w:val="17"/>
          <w:szCs w:val="17"/>
        </w:rPr>
        <w:t>- OBRIGAÇÕES PERTINENTES À LGPD</w:t>
      </w:r>
    </w:p>
    <w:p w14:paraId="02E23198">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 </w:t>
      </w:r>
      <w:r>
        <w:rPr>
          <w:rFonts w:hint="default" w:ascii="Arial" w:hAnsi="Arial" w:cs="Arial"/>
          <w:b w:val="0"/>
          <w:bCs w:val="0"/>
          <w:sz w:val="17"/>
          <w:szCs w:val="17"/>
        </w:rPr>
        <w:t xml:space="preserve">As partes deverão cumprir a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w:instrText>
      </w:r>
      <w:r>
        <w:rPr>
          <w:rFonts w:hint="default" w:ascii="Arial" w:hAnsi="Arial" w:cs="Arial"/>
          <w:b w:val="0"/>
          <w:bCs w:val="0"/>
          <w:sz w:val="17"/>
          <w:szCs w:val="17"/>
        </w:rPr>
        <w:fldChar w:fldCharType="separate"/>
      </w:r>
      <w:r>
        <w:rPr>
          <w:rStyle w:val="11"/>
          <w:rFonts w:hint="default" w:ascii="Arial" w:hAnsi="Arial" w:cs="Arial"/>
          <w:b w:val="0"/>
          <w:bCs w:val="0"/>
          <w:sz w:val="17"/>
          <w:szCs w:val="17"/>
        </w:rPr>
        <w:t>Lei nº 13.709, de 14 de agosto de 2018 (LGPD)</w:t>
      </w:r>
      <w:r>
        <w:rPr>
          <w:rStyle w:val="11"/>
          <w:rFonts w:hint="default" w:ascii="Arial" w:hAnsi="Arial" w:cs="Arial"/>
          <w:b w:val="0"/>
          <w:bCs w:val="0"/>
          <w:sz w:val="17"/>
          <w:szCs w:val="17"/>
        </w:rPr>
        <w:fldChar w:fldCharType="end"/>
      </w:r>
      <w:r>
        <w:rPr>
          <w:rFonts w:hint="default" w:ascii="Arial" w:hAnsi="Arial" w:cs="Arial"/>
          <w:b w:val="0"/>
          <w:bCs w:val="0"/>
          <w:sz w:val="17"/>
          <w:szCs w:val="17"/>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r>
        <w:rPr>
          <w:rFonts w:hint="default" w:ascii="Arial" w:hAnsi="Arial" w:cs="Arial"/>
          <w:b w:val="0"/>
          <w:bCs w:val="0"/>
          <w:sz w:val="17"/>
          <w:szCs w:val="17"/>
          <w:lang w:val="pt-BR"/>
        </w:rPr>
        <w:t xml:space="preserve">13.2 </w:t>
      </w:r>
      <w:r>
        <w:rPr>
          <w:rFonts w:hint="default" w:ascii="Arial" w:hAnsi="Arial" w:cs="Arial"/>
          <w:b w:val="0"/>
          <w:bCs w:val="0"/>
          <w:sz w:val="17"/>
          <w:szCs w:val="17"/>
        </w:rPr>
        <w:t xml:space="preserve">Os dados obtidos somente poderão ser utilizados para as finalidades que justificaram seu acesso e de acordo com a boa-fé e com os princípios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"art6" </w:instrText>
      </w:r>
      <w:r>
        <w:rPr>
          <w:rFonts w:hint="default" w:ascii="Arial" w:hAnsi="Arial" w:cs="Arial"/>
          <w:b w:val="0"/>
          <w:bCs w:val="0"/>
          <w:sz w:val="17"/>
          <w:szCs w:val="17"/>
        </w:rPr>
        <w:fldChar w:fldCharType="separate"/>
      </w:r>
      <w:r>
        <w:rPr>
          <w:rStyle w:val="11"/>
          <w:rFonts w:hint="default" w:ascii="Arial" w:hAnsi="Arial" w:cs="Arial"/>
          <w:b w:val="0"/>
          <w:bCs w:val="0"/>
          <w:sz w:val="17"/>
          <w:szCs w:val="17"/>
        </w:rPr>
        <w:t>art. 6º da LGPD</w:t>
      </w:r>
      <w:r>
        <w:rPr>
          <w:rStyle w:val="11"/>
          <w:rFonts w:hint="default" w:ascii="Arial" w:hAnsi="Arial" w:cs="Arial"/>
          <w:b w:val="0"/>
          <w:bCs w:val="0"/>
          <w:sz w:val="17"/>
          <w:szCs w:val="17"/>
        </w:rPr>
        <w:fldChar w:fldCharType="end"/>
      </w:r>
      <w:r>
        <w:rPr>
          <w:rFonts w:hint="default" w:ascii="Arial" w:hAnsi="Arial" w:cs="Arial"/>
          <w:b w:val="0"/>
          <w:bCs w:val="0"/>
          <w:sz w:val="17"/>
          <w:szCs w:val="17"/>
        </w:rPr>
        <w:t xml:space="preserve">. </w:t>
      </w:r>
    </w:p>
    <w:p w14:paraId="3EBE7A09">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13.3 </w:t>
      </w:r>
      <w:r>
        <w:rPr>
          <w:rFonts w:hint="default" w:ascii="Arial" w:hAnsi="Arial" w:cs="Arial"/>
          <w:b w:val="0"/>
          <w:bCs w:val="0"/>
          <w:sz w:val="17"/>
          <w:szCs w:val="17"/>
        </w:rPr>
        <w:t>É vedado o compartilhamento com terceiros dos dados obtidos fora das hipóteses permitidas em Lei.</w:t>
      </w:r>
    </w:p>
    <w:p w14:paraId="2BF50183">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13.4 </w:t>
      </w:r>
      <w:r>
        <w:rPr>
          <w:rFonts w:hint="default" w:ascii="Arial" w:hAnsi="Arial" w:cs="Arial"/>
          <w:b w:val="0"/>
          <w:bCs w:val="0"/>
          <w:sz w:val="17"/>
          <w:szCs w:val="17"/>
        </w:rPr>
        <w:t xml:space="preserve">A Administração deverá ser informada no prazo de 5 (cinco) dias úteis sobre todos os contratos de suboperação firmados ou que venham a ser celebrados pelo Contratado. </w:t>
      </w:r>
    </w:p>
    <w:p w14:paraId="14BAD89D">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13.5 </w:t>
      </w:r>
      <w:r>
        <w:rPr>
          <w:rFonts w:hint="default" w:ascii="Arial" w:hAnsi="Arial" w:cs="Arial"/>
          <w:b w:val="0"/>
          <w:bCs w:val="0"/>
          <w:sz w:val="17"/>
          <w:szCs w:val="17"/>
        </w:rPr>
        <w:t xml:space="preserve">Terminado o tratamento dos dados nos termos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"art15" </w:instrText>
      </w:r>
      <w:r>
        <w:rPr>
          <w:rFonts w:hint="default" w:ascii="Arial" w:hAnsi="Arial" w:cs="Arial"/>
          <w:b w:val="0"/>
          <w:bCs w:val="0"/>
          <w:sz w:val="17"/>
          <w:szCs w:val="17"/>
        </w:rPr>
        <w:fldChar w:fldCharType="separate"/>
      </w:r>
      <w:r>
        <w:rPr>
          <w:rStyle w:val="11"/>
          <w:rFonts w:hint="default" w:ascii="Arial" w:hAnsi="Arial" w:cs="Arial"/>
          <w:b w:val="0"/>
          <w:bCs w:val="0"/>
          <w:sz w:val="17"/>
          <w:szCs w:val="17"/>
        </w:rPr>
        <w:t>art. 15 da LGPD</w:t>
      </w:r>
      <w:r>
        <w:rPr>
          <w:rStyle w:val="11"/>
          <w:rFonts w:hint="default" w:ascii="Arial" w:hAnsi="Arial" w:cs="Arial"/>
          <w:b w:val="0"/>
          <w:bCs w:val="0"/>
          <w:sz w:val="17"/>
          <w:szCs w:val="17"/>
        </w:rPr>
        <w:fldChar w:fldCharType="end"/>
      </w:r>
      <w:r>
        <w:rPr>
          <w:rFonts w:hint="default" w:ascii="Arial" w:hAnsi="Arial" w:cs="Arial"/>
          <w:b w:val="0"/>
          <w:bCs w:val="0"/>
          <w:sz w:val="17"/>
          <w:szCs w:val="17"/>
        </w:rPr>
        <w:t xml:space="preserve">, é dever do contratado eliminá-los, com exceção das hipóteses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"art16" </w:instrText>
      </w:r>
      <w:r>
        <w:rPr>
          <w:rFonts w:hint="default" w:ascii="Arial" w:hAnsi="Arial" w:cs="Arial"/>
          <w:b w:val="0"/>
          <w:bCs w:val="0"/>
          <w:sz w:val="17"/>
          <w:szCs w:val="17"/>
        </w:rPr>
        <w:fldChar w:fldCharType="separate"/>
      </w:r>
      <w:r>
        <w:rPr>
          <w:rStyle w:val="11"/>
          <w:rFonts w:hint="default" w:ascii="Arial" w:hAnsi="Arial" w:cs="Arial"/>
          <w:b w:val="0"/>
          <w:bCs w:val="0"/>
          <w:sz w:val="17"/>
          <w:szCs w:val="17"/>
        </w:rPr>
        <w:t>art. 16 da LGPD</w:t>
      </w:r>
      <w:r>
        <w:rPr>
          <w:rStyle w:val="11"/>
          <w:rFonts w:hint="default" w:ascii="Arial" w:hAnsi="Arial" w:cs="Arial"/>
          <w:b w:val="0"/>
          <w:bCs w:val="0"/>
          <w:sz w:val="17"/>
          <w:szCs w:val="17"/>
        </w:rPr>
        <w:fldChar w:fldCharType="end"/>
      </w:r>
      <w:r>
        <w:rPr>
          <w:rFonts w:hint="default" w:ascii="Arial" w:hAnsi="Arial" w:cs="Arial"/>
          <w:b w:val="0"/>
          <w:bCs w:val="0"/>
          <w:sz w:val="17"/>
          <w:szCs w:val="17"/>
        </w:rPr>
        <w:t xml:space="preserve">, incluindo aquelas em que houver necessidade de guarda de documentação para fins de comprovação do cumprimento de obrigações legais ou contratuais e somente enquanto não prescritas essas obrigações. </w:t>
      </w:r>
      <w:r>
        <w:rPr>
          <w:rFonts w:hint="default" w:ascii="Arial" w:hAnsi="Arial" w:cs="Arial"/>
          <w:b w:val="0"/>
          <w:bCs w:val="0"/>
          <w:sz w:val="17"/>
          <w:szCs w:val="17"/>
          <w:lang w:val="pt-BR"/>
        </w:rPr>
        <w:t xml:space="preserve">13.6 </w:t>
      </w:r>
      <w:r>
        <w:rPr>
          <w:rFonts w:hint="default" w:ascii="Arial" w:hAnsi="Arial" w:cs="Arial"/>
          <w:b w:val="0"/>
          <w:bCs w:val="0"/>
          <w:sz w:val="17"/>
          <w:szCs w:val="17"/>
        </w:rPr>
        <w:t xml:space="preserve">É dever do contratado orientar e treinar seus empregados sobre os deveres, requisitos e responsabilidades decorrentes da LGPD. </w:t>
      </w:r>
    </w:p>
    <w:p w14:paraId="77AF816E">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13.7 </w:t>
      </w:r>
      <w:r>
        <w:rPr>
          <w:rFonts w:hint="default" w:ascii="Arial" w:hAnsi="Arial" w:cs="Arial"/>
          <w:b w:val="0"/>
          <w:bCs w:val="0"/>
          <w:sz w:val="17"/>
          <w:szCs w:val="17"/>
        </w:rPr>
        <w:t>O Contratado deverá exigir de suboperadores e subcontratados o cumprimento dos deveres da presente cláusula, permanecendo integralmente responsável por garantir sua observância.</w:t>
      </w:r>
    </w:p>
    <w:p w14:paraId="1D20FE75">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13.8 </w:t>
      </w:r>
      <w:r>
        <w:rPr>
          <w:rFonts w:hint="default" w:ascii="Arial" w:hAnsi="Arial" w:cs="Arial"/>
          <w:b w:val="0"/>
          <w:bCs w:val="0"/>
          <w:sz w:val="17"/>
          <w:szCs w:val="17"/>
        </w:rPr>
        <w:t xml:space="preserve">O Contratante poderá realizar diligência para aferir o cumprimento dessa cláusula, devendo o Contratado atender prontamente eventuais pedidos de comprovação formulados. </w:t>
      </w:r>
    </w:p>
    <w:p w14:paraId="4B43B0F5">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13.9 </w:t>
      </w:r>
      <w:r>
        <w:rPr>
          <w:rFonts w:hint="default" w:ascii="Arial" w:hAnsi="Arial" w:cs="Arial"/>
          <w:b w:val="0"/>
          <w:bCs w:val="0"/>
          <w:sz w:val="17"/>
          <w:szCs w:val="17"/>
        </w:rPr>
        <w:t xml:space="preserve">O Contratado deverá prestar, no prazo fixado pelo Contratante, prorrogável justificadamente, quaisquer informações acerca dos dados pessoais para cumprimento da LGPD, inclusive quanto a eventual descarte realizado. </w:t>
      </w:r>
    </w:p>
    <w:p w14:paraId="3F513EC1">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13.10 </w:t>
      </w:r>
      <w:r>
        <w:rPr>
          <w:rFonts w:hint="default" w:ascii="Arial" w:hAnsi="Arial" w:cs="Arial"/>
          <w:b w:val="0"/>
          <w:bCs w:val="0"/>
          <w:sz w:val="17"/>
          <w:szCs w:val="17"/>
        </w:rPr>
        <w:t>Os referidos bancos de dados devem ser desenvolvidos em formato interoperável, a fim de garantir a reutilização desses dados pela Administração nas hipóteses previstas na LGPD.</w:t>
      </w:r>
    </w:p>
    <w:p w14:paraId="4E5273A1">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13.11 </w:t>
      </w:r>
      <w:r>
        <w:rPr>
          <w:rFonts w:hint="default" w:ascii="Arial" w:hAnsi="Arial" w:cs="Arial"/>
          <w:b w:val="0"/>
          <w:bCs w:val="0"/>
          <w:sz w:val="17"/>
          <w:szCs w:val="17"/>
        </w:rPr>
        <w:t>O contrato está sujeito a ser alterado nos procedimentos pertinentes ao tratamento de dados pessoais, quando indicado pela autoridade competente, em especial a ANPD por meio de opiniões técnicas ou recomendações, editadas na forma da LGPD.</w:t>
      </w:r>
    </w:p>
    <w:p w14:paraId="7F1B01A8">
      <w:pPr>
        <w:spacing w:line="240" w:lineRule="auto"/>
        <w:jc w:val="both"/>
        <w:rPr>
          <w:rFonts w:hint="default" w:ascii="Arial" w:hAnsi="Arial" w:cs="Arial"/>
          <w:b/>
          <w:bCs/>
          <w:sz w:val="17"/>
          <w:szCs w:val="17"/>
        </w:rPr>
      </w:pPr>
    </w:p>
    <w:p w14:paraId="0264A3CD">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w:t>
      </w:r>
      <w:r>
        <w:rPr>
          <w:rFonts w:hint="default" w:ascii="Arial" w:hAnsi="Arial" w:cs="Arial"/>
          <w:b/>
          <w:bCs/>
          <w:sz w:val="17"/>
          <w:szCs w:val="17"/>
          <w:lang w:val="pt-BR"/>
        </w:rPr>
        <w:t>QUARTA</w:t>
      </w:r>
      <w:r>
        <w:rPr>
          <w:rFonts w:hint="default" w:ascii="Arial" w:hAnsi="Arial" w:cs="Arial"/>
          <w:b/>
          <w:bCs/>
          <w:sz w:val="17"/>
          <w:szCs w:val="17"/>
        </w:rPr>
        <w:t xml:space="preserve"> - DA AUTORIZAÇÃO PARA AQUISIÇÃO E EMISSÃO DAS AUTORIZAÇÕES DE COMPRA</w:t>
      </w:r>
    </w:p>
    <w:p w14:paraId="4A02B57D">
      <w:pPr>
        <w:spacing w:line="240" w:lineRule="auto"/>
        <w:jc w:val="both"/>
        <w:rPr>
          <w:rFonts w:hint="default" w:ascii="Arial" w:hAnsi="Arial" w:cs="Arial"/>
          <w:bCs/>
          <w:sz w:val="17"/>
          <w:szCs w:val="17"/>
        </w:rPr>
      </w:pPr>
      <w:r>
        <w:rPr>
          <w:rFonts w:hint="default" w:ascii="Arial" w:hAnsi="Arial" w:cs="Arial"/>
          <w:b/>
          <w:bCs/>
          <w:sz w:val="17"/>
          <w:szCs w:val="17"/>
        </w:rPr>
        <w:t>1</w:t>
      </w:r>
      <w:r>
        <w:rPr>
          <w:rFonts w:hint="default" w:ascii="Arial" w:hAnsi="Arial" w:cs="Arial"/>
          <w:b/>
          <w:bCs/>
          <w:sz w:val="17"/>
          <w:szCs w:val="17"/>
          <w:lang w:val="pt-BR"/>
        </w:rPr>
        <w:t>4</w:t>
      </w:r>
      <w:r>
        <w:rPr>
          <w:rFonts w:hint="default" w:ascii="Arial" w:hAnsi="Arial" w:cs="Arial"/>
          <w:b/>
          <w:bCs/>
          <w:sz w:val="17"/>
          <w:szCs w:val="17"/>
        </w:rPr>
        <w:t xml:space="preserve">.1. </w:t>
      </w:r>
      <w:r>
        <w:rPr>
          <w:rFonts w:hint="default" w:ascii="Arial" w:hAnsi="Arial" w:cs="Arial"/>
          <w:bCs/>
          <w:sz w:val="17"/>
          <w:szCs w:val="17"/>
        </w:rPr>
        <w:t xml:space="preserve">A aquisição dos serviços da presente Ata de Registro de Preços serão autorizadas, caso a caso, pela Secretaria /Prefeitura Municipal de Cataguases. </w:t>
      </w:r>
    </w:p>
    <w:p w14:paraId="3678E537">
      <w:pPr>
        <w:spacing w:line="240" w:lineRule="auto"/>
        <w:jc w:val="both"/>
        <w:rPr>
          <w:rFonts w:hint="default" w:ascii="Arial" w:hAnsi="Arial" w:cs="Arial"/>
          <w:b/>
          <w:bCs/>
          <w:sz w:val="17"/>
          <w:szCs w:val="17"/>
        </w:rPr>
      </w:pPr>
    </w:p>
    <w:p w14:paraId="11CA1B46">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w:t>
      </w:r>
      <w:r>
        <w:rPr>
          <w:rFonts w:hint="default" w:ascii="Arial" w:hAnsi="Arial" w:cs="Arial"/>
          <w:b/>
          <w:bCs/>
          <w:sz w:val="17"/>
          <w:szCs w:val="17"/>
          <w:lang w:val="pt-BR"/>
        </w:rPr>
        <w:t>QUINTA</w:t>
      </w:r>
      <w:r>
        <w:rPr>
          <w:rFonts w:hint="default" w:ascii="Arial" w:hAnsi="Arial" w:cs="Arial"/>
          <w:b/>
          <w:bCs/>
          <w:sz w:val="17"/>
          <w:szCs w:val="17"/>
        </w:rPr>
        <w:t xml:space="preserve"> - </w:t>
      </w:r>
      <w:r>
        <w:rPr>
          <w:rFonts w:hint="default" w:ascii="Arial" w:hAnsi="Arial" w:cs="Arial" w:eastAsiaTheme="minorHAnsi"/>
          <w:b/>
          <w:bCs/>
          <w:color w:val="000000"/>
          <w:sz w:val="17"/>
          <w:szCs w:val="17"/>
          <w:lang w:eastAsia="en-US"/>
        </w:rPr>
        <w:t>GESTOR DA ATA DE REGISTRO DE PREÇO</w:t>
      </w:r>
    </w:p>
    <w:p w14:paraId="2936FE0C">
      <w:pPr>
        <w:spacing w:line="240" w:lineRule="auto"/>
        <w:jc w:val="both"/>
        <w:rPr>
          <w:rFonts w:hint="default" w:ascii="Arial" w:hAnsi="Arial" w:cs="Arial"/>
          <w:sz w:val="17"/>
          <w:szCs w:val="17"/>
          <w:lang w:val="pt-BR" w:bidi="ar-SA"/>
        </w:rPr>
      </w:pPr>
      <w:r>
        <w:rPr>
          <w:rFonts w:hint="default" w:ascii="Arial" w:hAnsi="Arial" w:cs="Arial" w:eastAsiaTheme="minorHAnsi"/>
          <w:b w:val="0"/>
          <w:bCs/>
          <w:color w:val="000000"/>
          <w:sz w:val="17"/>
          <w:szCs w:val="17"/>
          <w:lang w:eastAsia="en-US"/>
        </w:rPr>
        <w:t>1</w:t>
      </w:r>
      <w:r>
        <w:rPr>
          <w:rFonts w:hint="default" w:ascii="Arial" w:hAnsi="Arial" w:cs="Arial" w:eastAsiaTheme="minorHAnsi"/>
          <w:b w:val="0"/>
          <w:bCs/>
          <w:color w:val="000000"/>
          <w:sz w:val="17"/>
          <w:szCs w:val="17"/>
          <w:lang w:val="pt-BR" w:eastAsia="en-US"/>
        </w:rPr>
        <w:t>5</w:t>
      </w:r>
      <w:r>
        <w:rPr>
          <w:rFonts w:hint="default" w:ascii="Arial" w:hAnsi="Arial" w:cs="Arial" w:eastAsiaTheme="minorHAnsi"/>
          <w:b w:val="0"/>
          <w:bCs/>
          <w:color w:val="000000"/>
          <w:sz w:val="17"/>
          <w:szCs w:val="17"/>
          <w:lang w:eastAsia="en-US"/>
        </w:rPr>
        <w:t>.1 A execução do contrato deverá ser acompanhada e fiscalizada por servidores</w:t>
      </w:r>
      <w:r>
        <w:rPr>
          <w:rFonts w:hint="default" w:ascii="Arial" w:hAnsi="Arial" w:cs="Arial" w:eastAsiaTheme="minorHAnsi"/>
          <w:b w:val="0"/>
          <w:bCs/>
          <w:sz w:val="17"/>
          <w:szCs w:val="17"/>
          <w:lang w:eastAsia="en-US"/>
        </w:rPr>
        <w:t xml:space="preserve"> nos termos estabelecidos no presente instrumento</w:t>
      </w:r>
      <w:r>
        <w:rPr>
          <w:rFonts w:hint="default" w:ascii="Arial" w:hAnsi="Arial" w:cs="Arial" w:eastAsiaTheme="minorHAnsi"/>
          <w:b w:val="0"/>
          <w:bCs/>
          <w:sz w:val="17"/>
          <w:szCs w:val="17"/>
          <w:lang w:val="pt-BR" w:eastAsia="en-US"/>
        </w:rPr>
        <w:t xml:space="preserve">, a saber: </w:t>
      </w:r>
      <w:r>
        <w:rPr>
          <w:rFonts w:ascii="Arial" w:hAnsi="Arial" w:cs="Arial"/>
          <w:sz w:val="17"/>
          <w:szCs w:val="17"/>
        </w:rPr>
        <w:t xml:space="preserve">Natália da Silva Gonçalves </w:t>
      </w:r>
      <w:r>
        <w:rPr>
          <w:rFonts w:hint="default" w:ascii="Arial" w:hAnsi="Arial" w:cs="Arial"/>
          <w:sz w:val="17"/>
          <w:szCs w:val="17"/>
          <w:lang w:val="pt-BR"/>
        </w:rPr>
        <w:t>S</w:t>
      </w:r>
      <w:r>
        <w:rPr>
          <w:rFonts w:ascii="Arial" w:hAnsi="Arial" w:cs="Arial"/>
          <w:sz w:val="17"/>
          <w:szCs w:val="17"/>
        </w:rPr>
        <w:t>amel</w:t>
      </w:r>
      <w:r>
        <w:rPr>
          <w:rFonts w:hint="default" w:ascii="Arial" w:hAnsi="Arial" w:cs="Arial"/>
          <w:sz w:val="18"/>
          <w:szCs w:val="18"/>
          <w:lang w:val="pt-BR"/>
        </w:rPr>
        <w:t>.</w:t>
      </w:r>
    </w:p>
    <w:p w14:paraId="6EDD3210">
      <w:pPr>
        <w:spacing w:line="240" w:lineRule="auto"/>
        <w:jc w:val="both"/>
        <w:rPr>
          <w:rFonts w:hint="default" w:ascii="Arial" w:hAnsi="Arial" w:cs="Arial" w:eastAsiaTheme="minorHAnsi"/>
          <w:b w:val="0"/>
          <w:bCs/>
          <w:color w:val="000000"/>
          <w:sz w:val="17"/>
          <w:szCs w:val="17"/>
          <w:lang w:eastAsia="en-US"/>
        </w:rPr>
      </w:pPr>
      <w:r>
        <w:rPr>
          <w:rFonts w:hint="default" w:ascii="Arial" w:hAnsi="Arial" w:cs="Arial" w:eastAsiaTheme="minorHAnsi"/>
          <w:b w:val="0"/>
          <w:bCs/>
          <w:color w:val="000000"/>
          <w:sz w:val="17"/>
          <w:szCs w:val="17"/>
          <w:lang w:eastAsia="en-US"/>
        </w:rPr>
        <w:t>1</w:t>
      </w:r>
      <w:r>
        <w:rPr>
          <w:rFonts w:hint="default" w:ascii="Arial" w:hAnsi="Arial" w:cs="Arial" w:eastAsiaTheme="minorHAnsi"/>
          <w:b w:val="0"/>
          <w:bCs/>
          <w:color w:val="000000"/>
          <w:sz w:val="17"/>
          <w:szCs w:val="17"/>
          <w:lang w:val="pt-BR" w:eastAsia="en-US"/>
        </w:rPr>
        <w:t>5</w:t>
      </w:r>
      <w:r>
        <w:rPr>
          <w:rFonts w:hint="default" w:ascii="Arial" w:hAnsi="Arial" w:cs="Arial" w:eastAsiaTheme="minorHAnsi"/>
          <w:b w:val="0"/>
          <w:bCs/>
          <w:color w:val="000000"/>
          <w:sz w:val="17"/>
          <w:szCs w:val="17"/>
          <w:lang w:eastAsia="en-US"/>
        </w:rPr>
        <w:t xml:space="preserve">.2 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14:paraId="18E6DC6A">
      <w:pPr>
        <w:tabs>
          <w:tab w:val="left" w:pos="567"/>
        </w:tabs>
        <w:spacing w:line="240" w:lineRule="auto"/>
        <w:jc w:val="both"/>
        <w:rPr>
          <w:rFonts w:hint="default" w:ascii="Arial" w:hAnsi="Arial" w:cs="Arial" w:eastAsiaTheme="minorHAnsi"/>
          <w:b w:val="0"/>
          <w:bCs/>
          <w:color w:val="000000"/>
          <w:sz w:val="17"/>
          <w:szCs w:val="17"/>
          <w:lang w:eastAsia="en-US"/>
        </w:rPr>
      </w:pPr>
      <w:r>
        <w:rPr>
          <w:rFonts w:hint="default" w:ascii="Arial" w:hAnsi="Arial" w:cs="Arial" w:eastAsiaTheme="minorHAnsi"/>
          <w:b w:val="0"/>
          <w:bCs/>
          <w:color w:val="000000"/>
          <w:sz w:val="17"/>
          <w:szCs w:val="17"/>
          <w:lang w:eastAsia="en-US"/>
        </w:rPr>
        <w:t>1</w:t>
      </w:r>
      <w:r>
        <w:rPr>
          <w:rFonts w:hint="default" w:ascii="Arial" w:hAnsi="Arial" w:cs="Arial" w:eastAsiaTheme="minorHAnsi"/>
          <w:b w:val="0"/>
          <w:bCs/>
          <w:color w:val="000000"/>
          <w:sz w:val="17"/>
          <w:szCs w:val="17"/>
          <w:lang w:val="pt-BR" w:eastAsia="en-US"/>
        </w:rPr>
        <w:t>5</w:t>
      </w:r>
      <w:r>
        <w:rPr>
          <w:rFonts w:hint="default" w:ascii="Arial" w:hAnsi="Arial" w:cs="Arial" w:eastAsiaTheme="minorHAnsi"/>
          <w:b w:val="0"/>
          <w:bCs/>
          <w:color w:val="000000"/>
          <w:sz w:val="17"/>
          <w:szCs w:val="17"/>
          <w:lang w:eastAsia="en-US"/>
        </w:rPr>
        <w:t>.3 A fiscalização ou acompanhamento do contrato pela Administração não excluiu ou reduz a responsabilidade do contratado.</w:t>
      </w:r>
    </w:p>
    <w:p w14:paraId="49DB4B73">
      <w:pPr>
        <w:pStyle w:val="220"/>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b w:val="0"/>
          <w:bCs/>
          <w:iCs/>
          <w:sz w:val="17"/>
          <w:szCs w:val="17"/>
          <w:lang w:val="pt-BR"/>
        </w:rPr>
        <w:t xml:space="preserve">15.4 </w:t>
      </w:r>
      <w:r>
        <w:rPr>
          <w:rFonts w:hint="default" w:ascii="Arial" w:hAnsi="Arial" w:cs="Arial"/>
          <w:b w:val="0"/>
          <w:bCs/>
          <w:iCs/>
          <w:sz w:val="17"/>
          <w:szCs w:val="17"/>
        </w:rPr>
        <w:t>N</w:t>
      </w:r>
      <w:r>
        <w:rPr>
          <w:rFonts w:hint="default" w:ascii="Arial" w:hAnsi="Arial" w:cs="Arial"/>
          <w:iCs/>
          <w:sz w:val="17"/>
          <w:szCs w:val="17"/>
        </w:rPr>
        <w:t xml:space="preserve">a </w:t>
      </w:r>
      <w:r>
        <w:rPr>
          <w:rFonts w:hint="default" w:ascii="Arial" w:hAnsi="Arial" w:cs="Arial"/>
          <w:sz w:val="17"/>
          <w:szCs w:val="17"/>
        </w:rPr>
        <w:t xml:space="preserve">ausência dos servidores que ocupam os cargos acima, os responsáveis tanto pela </w:t>
      </w:r>
      <w:r>
        <w:rPr>
          <w:rFonts w:hint="default" w:ascii="Arial" w:hAnsi="Arial" w:cs="Arial"/>
          <w:spacing w:val="-59"/>
          <w:sz w:val="17"/>
          <w:szCs w:val="17"/>
        </w:rPr>
        <w:t xml:space="preserve"> </w:t>
      </w:r>
      <w:r>
        <w:rPr>
          <w:rFonts w:hint="default" w:ascii="Arial" w:hAnsi="Arial" w:cs="Arial"/>
          <w:sz w:val="17"/>
          <w:szCs w:val="17"/>
        </w:rPr>
        <w:t>gestão</w:t>
      </w:r>
      <w:r>
        <w:rPr>
          <w:rFonts w:hint="default" w:ascii="Arial" w:hAnsi="Arial" w:cs="Arial"/>
          <w:spacing w:val="-14"/>
          <w:sz w:val="17"/>
          <w:szCs w:val="17"/>
        </w:rPr>
        <w:t xml:space="preserve"> </w:t>
      </w:r>
      <w:r>
        <w:rPr>
          <w:rFonts w:hint="default" w:ascii="Arial" w:hAnsi="Arial" w:cs="Arial"/>
          <w:sz w:val="17"/>
          <w:szCs w:val="17"/>
        </w:rPr>
        <w:t>quanto</w:t>
      </w:r>
      <w:r>
        <w:rPr>
          <w:rFonts w:hint="default" w:ascii="Arial" w:hAnsi="Arial" w:cs="Arial"/>
          <w:spacing w:val="-13"/>
          <w:sz w:val="17"/>
          <w:szCs w:val="17"/>
        </w:rPr>
        <w:t xml:space="preserve"> </w:t>
      </w:r>
      <w:r>
        <w:rPr>
          <w:rFonts w:hint="default" w:ascii="Arial" w:hAnsi="Arial" w:cs="Arial"/>
          <w:sz w:val="17"/>
          <w:szCs w:val="17"/>
        </w:rPr>
        <w:t>pela</w:t>
      </w:r>
      <w:r>
        <w:rPr>
          <w:rFonts w:hint="default" w:ascii="Arial" w:hAnsi="Arial" w:cs="Arial"/>
          <w:spacing w:val="-12"/>
          <w:sz w:val="17"/>
          <w:szCs w:val="17"/>
        </w:rPr>
        <w:t xml:space="preserve"> </w:t>
      </w:r>
      <w:r>
        <w:rPr>
          <w:rFonts w:hint="default" w:ascii="Arial" w:hAnsi="Arial" w:cs="Arial"/>
          <w:sz w:val="17"/>
          <w:szCs w:val="17"/>
        </w:rPr>
        <w:t>fiscalização</w:t>
      </w:r>
      <w:r>
        <w:rPr>
          <w:rFonts w:hint="default" w:ascii="Arial" w:hAnsi="Arial" w:cs="Arial"/>
          <w:spacing w:val="-10"/>
          <w:sz w:val="17"/>
          <w:szCs w:val="17"/>
        </w:rPr>
        <w:t xml:space="preserve"> </w:t>
      </w:r>
      <w:r>
        <w:rPr>
          <w:rFonts w:hint="default" w:ascii="Arial" w:hAnsi="Arial" w:cs="Arial"/>
          <w:sz w:val="17"/>
          <w:szCs w:val="17"/>
        </w:rPr>
        <w:t>serão</w:t>
      </w:r>
      <w:r>
        <w:rPr>
          <w:rFonts w:hint="default" w:ascii="Arial" w:hAnsi="Arial" w:cs="Arial"/>
          <w:spacing w:val="-13"/>
          <w:sz w:val="17"/>
          <w:szCs w:val="17"/>
        </w:rPr>
        <w:t xml:space="preserve"> </w:t>
      </w:r>
      <w:r>
        <w:rPr>
          <w:rFonts w:hint="default" w:ascii="Arial" w:hAnsi="Arial" w:cs="Arial"/>
          <w:sz w:val="17"/>
          <w:szCs w:val="17"/>
        </w:rPr>
        <w:t>os</w:t>
      </w:r>
      <w:r>
        <w:rPr>
          <w:rFonts w:hint="default" w:ascii="Arial" w:hAnsi="Arial" w:cs="Arial"/>
          <w:spacing w:val="-13"/>
          <w:sz w:val="17"/>
          <w:szCs w:val="17"/>
        </w:rPr>
        <w:t xml:space="preserve"> </w:t>
      </w:r>
      <w:r>
        <w:rPr>
          <w:rFonts w:hint="default" w:ascii="Arial" w:hAnsi="Arial" w:cs="Arial"/>
          <w:sz w:val="17"/>
          <w:szCs w:val="17"/>
        </w:rPr>
        <w:t>servidores</w:t>
      </w:r>
      <w:r>
        <w:rPr>
          <w:rFonts w:hint="default" w:ascii="Arial" w:hAnsi="Arial" w:cs="Arial"/>
          <w:spacing w:val="-10"/>
          <w:sz w:val="17"/>
          <w:szCs w:val="17"/>
        </w:rPr>
        <w:t xml:space="preserve"> </w:t>
      </w:r>
      <w:r>
        <w:rPr>
          <w:rFonts w:hint="default" w:ascii="Arial" w:hAnsi="Arial" w:cs="Arial"/>
          <w:sz w:val="17"/>
          <w:szCs w:val="17"/>
        </w:rPr>
        <w:t>que</w:t>
      </w:r>
      <w:r>
        <w:rPr>
          <w:rFonts w:hint="default" w:ascii="Arial" w:hAnsi="Arial" w:cs="Arial"/>
          <w:spacing w:val="-13"/>
          <w:sz w:val="17"/>
          <w:szCs w:val="17"/>
        </w:rPr>
        <w:t xml:space="preserve"> </w:t>
      </w:r>
      <w:r>
        <w:rPr>
          <w:rFonts w:hint="default" w:ascii="Arial" w:hAnsi="Arial" w:cs="Arial"/>
          <w:sz w:val="17"/>
          <w:szCs w:val="17"/>
        </w:rPr>
        <w:t>estiverem</w:t>
      </w:r>
      <w:r>
        <w:rPr>
          <w:rFonts w:hint="default" w:ascii="Arial" w:hAnsi="Arial" w:cs="Arial"/>
          <w:spacing w:val="-11"/>
          <w:sz w:val="17"/>
          <w:szCs w:val="17"/>
        </w:rPr>
        <w:t xml:space="preserve"> </w:t>
      </w:r>
      <w:r>
        <w:rPr>
          <w:rFonts w:hint="default" w:ascii="Arial" w:hAnsi="Arial" w:cs="Arial"/>
          <w:sz w:val="17"/>
          <w:szCs w:val="17"/>
        </w:rPr>
        <w:t>atuando</w:t>
      </w:r>
      <w:r>
        <w:rPr>
          <w:rFonts w:hint="default" w:ascii="Arial" w:hAnsi="Arial" w:cs="Arial"/>
          <w:spacing w:val="-15"/>
          <w:sz w:val="17"/>
          <w:szCs w:val="17"/>
        </w:rPr>
        <w:t xml:space="preserve"> </w:t>
      </w:r>
      <w:r>
        <w:rPr>
          <w:rFonts w:hint="default" w:ascii="Arial" w:hAnsi="Arial" w:cs="Arial"/>
          <w:sz w:val="17"/>
          <w:szCs w:val="17"/>
        </w:rPr>
        <w:t>em</w:t>
      </w:r>
      <w:r>
        <w:rPr>
          <w:rFonts w:hint="default" w:ascii="Arial" w:hAnsi="Arial" w:cs="Arial"/>
          <w:spacing w:val="-12"/>
          <w:sz w:val="17"/>
          <w:szCs w:val="17"/>
        </w:rPr>
        <w:t xml:space="preserve"> </w:t>
      </w:r>
      <w:r>
        <w:rPr>
          <w:rFonts w:hint="default" w:ascii="Arial" w:hAnsi="Arial" w:cs="Arial"/>
          <w:sz w:val="17"/>
          <w:szCs w:val="17"/>
        </w:rPr>
        <w:t xml:space="preserve">substituição </w:t>
      </w:r>
      <w:r>
        <w:rPr>
          <w:rFonts w:hint="default" w:ascii="Arial" w:hAnsi="Arial" w:cs="Arial"/>
          <w:spacing w:val="-59"/>
          <w:sz w:val="17"/>
          <w:szCs w:val="17"/>
        </w:rPr>
        <w:t xml:space="preserve">     </w:t>
      </w:r>
      <w:r>
        <w:rPr>
          <w:rFonts w:hint="default" w:ascii="Arial" w:hAnsi="Arial" w:cs="Arial"/>
          <w:sz w:val="17"/>
          <w:szCs w:val="17"/>
        </w:rPr>
        <w:t>aos referidos</w:t>
      </w:r>
      <w:r>
        <w:rPr>
          <w:rFonts w:hint="default" w:ascii="Arial" w:hAnsi="Arial" w:cs="Arial"/>
          <w:spacing w:val="-2"/>
          <w:sz w:val="17"/>
          <w:szCs w:val="17"/>
        </w:rPr>
        <w:t xml:space="preserve"> </w:t>
      </w:r>
      <w:r>
        <w:rPr>
          <w:rFonts w:hint="default" w:ascii="Arial" w:hAnsi="Arial" w:cs="Arial"/>
          <w:sz w:val="17"/>
          <w:szCs w:val="17"/>
        </w:rPr>
        <w:t>cargos.</w:t>
      </w:r>
    </w:p>
    <w:p w14:paraId="452855DA">
      <w:pPr>
        <w:pStyle w:val="220"/>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15.5 </w:t>
      </w:r>
      <w:r>
        <w:rPr>
          <w:rFonts w:hint="default" w:ascii="Arial" w:hAnsi="Arial" w:cs="Arial"/>
          <w:sz w:val="17"/>
          <w:szCs w:val="17"/>
        </w:rPr>
        <w:t>Compete</w:t>
      </w:r>
      <w:r>
        <w:rPr>
          <w:rFonts w:hint="default" w:ascii="Arial" w:hAnsi="Arial" w:cs="Arial"/>
          <w:spacing w:val="1"/>
          <w:sz w:val="17"/>
          <w:szCs w:val="17"/>
        </w:rPr>
        <w:t xml:space="preserve"> </w:t>
      </w:r>
      <w:r>
        <w:rPr>
          <w:rFonts w:hint="default" w:ascii="Arial" w:hAnsi="Arial" w:cs="Arial"/>
          <w:sz w:val="17"/>
          <w:szCs w:val="17"/>
        </w:rPr>
        <w:t>ao</w:t>
      </w:r>
      <w:r>
        <w:rPr>
          <w:rFonts w:hint="default" w:ascii="Arial" w:hAnsi="Arial" w:cs="Arial"/>
          <w:spacing w:val="1"/>
          <w:sz w:val="17"/>
          <w:szCs w:val="17"/>
        </w:rPr>
        <w:t xml:space="preserve"> fiscal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acima</w:t>
      </w:r>
      <w:r>
        <w:rPr>
          <w:rFonts w:hint="default" w:ascii="Arial" w:hAnsi="Arial" w:cs="Arial"/>
          <w:spacing w:val="1"/>
          <w:sz w:val="17"/>
          <w:szCs w:val="17"/>
        </w:rPr>
        <w:t xml:space="preserve"> </w:t>
      </w:r>
      <w:r>
        <w:rPr>
          <w:rFonts w:hint="default" w:ascii="Arial" w:hAnsi="Arial" w:cs="Arial"/>
          <w:sz w:val="17"/>
          <w:szCs w:val="17"/>
        </w:rPr>
        <w:t>identificado</w:t>
      </w:r>
      <w:r>
        <w:rPr>
          <w:rFonts w:hint="default" w:ascii="Arial" w:hAnsi="Arial" w:cs="Arial"/>
          <w:spacing w:val="1"/>
          <w:sz w:val="17"/>
          <w:szCs w:val="17"/>
        </w:rPr>
        <w:t xml:space="preserve"> </w:t>
      </w:r>
      <w:r>
        <w:rPr>
          <w:rFonts w:hint="default" w:ascii="Arial" w:hAnsi="Arial" w:cs="Arial"/>
          <w:sz w:val="17"/>
          <w:szCs w:val="17"/>
        </w:rPr>
        <w:t>exercer</w:t>
      </w:r>
      <w:r>
        <w:rPr>
          <w:rFonts w:hint="default" w:ascii="Arial" w:hAnsi="Arial" w:cs="Arial"/>
          <w:spacing w:val="1"/>
          <w:sz w:val="17"/>
          <w:szCs w:val="17"/>
        </w:rPr>
        <w:t xml:space="preserve"> </w:t>
      </w:r>
      <w:r>
        <w:rPr>
          <w:rFonts w:hint="default" w:ascii="Arial" w:hAnsi="Arial" w:cs="Arial"/>
          <w:sz w:val="17"/>
          <w:szCs w:val="17"/>
        </w:rPr>
        <w:t>a</w:t>
      </w:r>
      <w:r>
        <w:rPr>
          <w:rFonts w:hint="default" w:ascii="Arial" w:hAnsi="Arial" w:cs="Arial"/>
          <w:spacing w:val="1"/>
          <w:sz w:val="17"/>
          <w:szCs w:val="17"/>
        </w:rPr>
        <w:t xml:space="preserve"> </w:t>
      </w:r>
      <w:r>
        <w:rPr>
          <w:rFonts w:hint="default" w:ascii="Arial" w:hAnsi="Arial" w:cs="Arial"/>
          <w:sz w:val="17"/>
          <w:szCs w:val="17"/>
        </w:rPr>
        <w:t>administração</w:t>
      </w:r>
      <w:r>
        <w:rPr>
          <w:rFonts w:hint="default" w:ascii="Arial" w:hAnsi="Arial" w:cs="Arial"/>
          <w:spacing w:val="1"/>
          <w:sz w:val="17"/>
          <w:szCs w:val="17"/>
        </w:rPr>
        <w:t xml:space="preserve">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com</w:t>
      </w:r>
      <w:r>
        <w:rPr>
          <w:rFonts w:hint="default" w:ascii="Arial" w:hAnsi="Arial" w:cs="Arial"/>
          <w:spacing w:val="1"/>
          <w:sz w:val="17"/>
          <w:szCs w:val="17"/>
        </w:rPr>
        <w:t xml:space="preserve"> </w:t>
      </w:r>
      <w:r>
        <w:rPr>
          <w:rFonts w:hint="default" w:ascii="Arial" w:hAnsi="Arial" w:cs="Arial"/>
          <w:sz w:val="17"/>
          <w:szCs w:val="17"/>
        </w:rPr>
        <w:t>atribuições</w:t>
      </w:r>
      <w:r>
        <w:rPr>
          <w:rFonts w:hint="default" w:ascii="Arial" w:hAnsi="Arial" w:cs="Arial"/>
          <w:spacing w:val="1"/>
          <w:sz w:val="17"/>
          <w:szCs w:val="17"/>
        </w:rPr>
        <w:t xml:space="preserve"> </w:t>
      </w:r>
      <w:r>
        <w:rPr>
          <w:rFonts w:hint="default" w:ascii="Arial" w:hAnsi="Arial" w:cs="Arial"/>
          <w:sz w:val="17"/>
          <w:szCs w:val="17"/>
        </w:rPr>
        <w:t>voltadas</w:t>
      </w:r>
      <w:r>
        <w:rPr>
          <w:rFonts w:hint="default" w:ascii="Arial" w:hAnsi="Arial" w:cs="Arial"/>
          <w:spacing w:val="1"/>
          <w:sz w:val="17"/>
          <w:szCs w:val="17"/>
        </w:rPr>
        <w:t xml:space="preserve"> </w:t>
      </w:r>
      <w:r>
        <w:rPr>
          <w:rFonts w:hint="default" w:ascii="Arial" w:hAnsi="Arial" w:cs="Arial"/>
          <w:sz w:val="17"/>
          <w:szCs w:val="17"/>
        </w:rPr>
        <w:t>para</w:t>
      </w:r>
      <w:r>
        <w:rPr>
          <w:rFonts w:hint="default" w:ascii="Arial" w:hAnsi="Arial" w:cs="Arial"/>
          <w:spacing w:val="1"/>
          <w:sz w:val="17"/>
          <w:szCs w:val="17"/>
        </w:rPr>
        <w:t xml:space="preserve"> </w:t>
      </w:r>
      <w:r>
        <w:rPr>
          <w:rFonts w:hint="default" w:ascii="Arial" w:hAnsi="Arial" w:cs="Arial"/>
          <w:sz w:val="17"/>
          <w:szCs w:val="17"/>
        </w:rPr>
        <w:t>o</w:t>
      </w:r>
      <w:r>
        <w:rPr>
          <w:rFonts w:hint="default" w:ascii="Arial" w:hAnsi="Arial" w:cs="Arial"/>
          <w:spacing w:val="1"/>
          <w:sz w:val="17"/>
          <w:szCs w:val="17"/>
        </w:rPr>
        <w:t xml:space="preserve"> </w:t>
      </w:r>
      <w:r>
        <w:rPr>
          <w:rFonts w:hint="default" w:ascii="Arial" w:hAnsi="Arial" w:cs="Arial"/>
          <w:sz w:val="17"/>
          <w:szCs w:val="17"/>
        </w:rPr>
        <w:t>controle</w:t>
      </w:r>
      <w:r>
        <w:rPr>
          <w:rFonts w:hint="default" w:ascii="Arial" w:hAnsi="Arial" w:cs="Arial"/>
          <w:spacing w:val="1"/>
          <w:sz w:val="17"/>
          <w:szCs w:val="17"/>
        </w:rPr>
        <w:t xml:space="preserve"> </w:t>
      </w:r>
      <w:r>
        <w:rPr>
          <w:rFonts w:hint="default" w:ascii="Arial" w:hAnsi="Arial" w:cs="Arial"/>
          <w:sz w:val="17"/>
          <w:szCs w:val="17"/>
        </w:rPr>
        <w:t>do objeto</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contratação, quais sejam, verificar se os recursos estão sendo empenhados conforme as</w:t>
      </w:r>
      <w:r>
        <w:rPr>
          <w:rFonts w:hint="default" w:ascii="Arial" w:hAnsi="Arial" w:cs="Arial"/>
          <w:spacing w:val="1"/>
          <w:sz w:val="17"/>
          <w:szCs w:val="17"/>
        </w:rPr>
        <w:t xml:space="preserve"> </w:t>
      </w:r>
      <w:r>
        <w:rPr>
          <w:rFonts w:hint="default" w:ascii="Arial" w:hAnsi="Arial" w:cs="Arial"/>
          <w:sz w:val="17"/>
          <w:szCs w:val="17"/>
        </w:rPr>
        <w:t>respectivas</w:t>
      </w:r>
      <w:r>
        <w:rPr>
          <w:rFonts w:hint="default" w:ascii="Arial" w:hAnsi="Arial" w:cs="Arial"/>
          <w:spacing w:val="-10"/>
          <w:sz w:val="17"/>
          <w:szCs w:val="17"/>
        </w:rPr>
        <w:t xml:space="preserve"> </w:t>
      </w:r>
      <w:r>
        <w:rPr>
          <w:rFonts w:hint="default" w:ascii="Arial" w:hAnsi="Arial" w:cs="Arial"/>
          <w:sz w:val="17"/>
          <w:szCs w:val="17"/>
        </w:rPr>
        <w:t>dotações</w:t>
      </w:r>
      <w:r>
        <w:rPr>
          <w:rFonts w:hint="default" w:ascii="Arial" w:hAnsi="Arial" w:cs="Arial"/>
          <w:spacing w:val="-10"/>
          <w:sz w:val="17"/>
          <w:szCs w:val="17"/>
        </w:rPr>
        <w:t xml:space="preserve"> </w:t>
      </w:r>
      <w:r>
        <w:rPr>
          <w:rFonts w:hint="default" w:ascii="Arial" w:hAnsi="Arial" w:cs="Arial"/>
          <w:sz w:val="17"/>
          <w:szCs w:val="17"/>
        </w:rPr>
        <w:t>orçamentárias,</w:t>
      </w:r>
      <w:r>
        <w:rPr>
          <w:rFonts w:hint="default" w:ascii="Arial" w:hAnsi="Arial" w:cs="Arial"/>
          <w:spacing w:val="-7"/>
          <w:sz w:val="17"/>
          <w:szCs w:val="17"/>
        </w:rPr>
        <w:t xml:space="preserve"> </w:t>
      </w:r>
      <w:r>
        <w:rPr>
          <w:rFonts w:hint="default" w:ascii="Arial" w:hAnsi="Arial" w:cs="Arial"/>
          <w:sz w:val="17"/>
          <w:szCs w:val="17"/>
        </w:rPr>
        <w:t>acompanhar</w:t>
      </w:r>
      <w:r>
        <w:rPr>
          <w:rFonts w:hint="default" w:ascii="Arial" w:hAnsi="Arial" w:cs="Arial"/>
          <w:spacing w:val="-9"/>
          <w:sz w:val="17"/>
          <w:szCs w:val="17"/>
        </w:rPr>
        <w:t xml:space="preserve"> </w:t>
      </w:r>
      <w:r>
        <w:rPr>
          <w:rFonts w:hint="default" w:ascii="Arial" w:hAnsi="Arial" w:cs="Arial"/>
          <w:sz w:val="17"/>
          <w:szCs w:val="17"/>
        </w:rPr>
        <w:t>o</w:t>
      </w:r>
      <w:r>
        <w:rPr>
          <w:rFonts w:hint="default" w:ascii="Arial" w:hAnsi="Arial" w:cs="Arial"/>
          <w:spacing w:val="-8"/>
          <w:sz w:val="17"/>
          <w:szCs w:val="17"/>
        </w:rPr>
        <w:t xml:space="preserve"> </w:t>
      </w:r>
      <w:r>
        <w:rPr>
          <w:rFonts w:hint="default" w:ascii="Arial" w:hAnsi="Arial" w:cs="Arial"/>
          <w:sz w:val="17"/>
          <w:szCs w:val="17"/>
        </w:rPr>
        <w:t>prazo</w:t>
      </w:r>
      <w:r>
        <w:rPr>
          <w:rFonts w:hint="default" w:ascii="Arial" w:hAnsi="Arial" w:cs="Arial"/>
          <w:spacing w:val="-8"/>
          <w:sz w:val="17"/>
          <w:szCs w:val="17"/>
        </w:rPr>
        <w:t xml:space="preserve"> </w:t>
      </w:r>
      <w:r>
        <w:rPr>
          <w:rFonts w:hint="default" w:ascii="Arial" w:hAnsi="Arial" w:cs="Arial"/>
          <w:sz w:val="17"/>
          <w:szCs w:val="17"/>
        </w:rPr>
        <w:t>de</w:t>
      </w:r>
      <w:r>
        <w:rPr>
          <w:rFonts w:hint="default" w:ascii="Arial" w:hAnsi="Arial" w:cs="Arial"/>
          <w:spacing w:val="-11"/>
          <w:sz w:val="17"/>
          <w:szCs w:val="17"/>
        </w:rPr>
        <w:t xml:space="preserve"> </w:t>
      </w:r>
      <w:r>
        <w:rPr>
          <w:rFonts w:hint="default" w:ascii="Arial" w:hAnsi="Arial" w:cs="Arial"/>
          <w:sz w:val="17"/>
          <w:szCs w:val="17"/>
        </w:rPr>
        <w:t>vigência</w:t>
      </w:r>
      <w:r>
        <w:rPr>
          <w:rFonts w:hint="default" w:ascii="Arial" w:hAnsi="Arial" w:cs="Arial"/>
          <w:spacing w:val="-8"/>
          <w:sz w:val="17"/>
          <w:szCs w:val="17"/>
        </w:rPr>
        <w:t xml:space="preserve"> </w:t>
      </w:r>
      <w:r>
        <w:rPr>
          <w:rFonts w:hint="default" w:ascii="Arial" w:hAnsi="Arial" w:cs="Arial"/>
          <w:sz w:val="17"/>
          <w:szCs w:val="17"/>
        </w:rPr>
        <w:t>do</w:t>
      </w:r>
      <w:r>
        <w:rPr>
          <w:rFonts w:hint="default" w:ascii="Arial" w:hAnsi="Arial" w:cs="Arial"/>
          <w:spacing w:val="-8"/>
          <w:sz w:val="17"/>
          <w:szCs w:val="17"/>
        </w:rPr>
        <w:t xml:space="preserve"> </w:t>
      </w:r>
      <w:r>
        <w:rPr>
          <w:rFonts w:hint="default" w:ascii="Arial" w:hAnsi="Arial" w:cs="Arial"/>
          <w:sz w:val="17"/>
          <w:szCs w:val="17"/>
        </w:rPr>
        <w:t>contrato,</w:t>
      </w:r>
      <w:r>
        <w:rPr>
          <w:rFonts w:hint="default" w:ascii="Arial" w:hAnsi="Arial" w:cs="Arial"/>
          <w:spacing w:val="-7"/>
          <w:sz w:val="17"/>
          <w:szCs w:val="17"/>
        </w:rPr>
        <w:t xml:space="preserve"> </w:t>
      </w:r>
      <w:r>
        <w:rPr>
          <w:rFonts w:hint="default" w:ascii="Arial" w:hAnsi="Arial" w:cs="Arial"/>
          <w:sz w:val="17"/>
          <w:szCs w:val="17"/>
        </w:rPr>
        <w:t>verificar</w:t>
      </w:r>
      <w:r>
        <w:rPr>
          <w:rFonts w:hint="default" w:ascii="Arial" w:hAnsi="Arial" w:cs="Arial"/>
          <w:spacing w:val="-59"/>
          <w:sz w:val="17"/>
          <w:szCs w:val="17"/>
        </w:rPr>
        <w:t xml:space="preserve"> </w:t>
      </w:r>
      <w:r>
        <w:rPr>
          <w:rFonts w:hint="default" w:ascii="Arial" w:hAnsi="Arial" w:cs="Arial"/>
          <w:sz w:val="17"/>
          <w:szCs w:val="17"/>
        </w:rPr>
        <w:t>a necessidade e possibilidade da renovação/prorrogação, bem como estudar a viabilidade</w:t>
      </w:r>
      <w:r>
        <w:rPr>
          <w:rFonts w:hint="default" w:ascii="Arial" w:hAnsi="Arial" w:cs="Arial"/>
          <w:spacing w:val="-59"/>
          <w:sz w:val="17"/>
          <w:szCs w:val="17"/>
        </w:rPr>
        <w:t xml:space="preserve"> </w:t>
      </w:r>
      <w:r>
        <w:rPr>
          <w:rFonts w:hint="default" w:ascii="Arial" w:hAnsi="Arial" w:cs="Arial"/>
          <w:sz w:val="17"/>
          <w:szCs w:val="17"/>
        </w:rPr>
        <w:t>de</w:t>
      </w:r>
      <w:r>
        <w:rPr>
          <w:rFonts w:hint="default" w:ascii="Arial" w:hAnsi="Arial" w:cs="Arial"/>
          <w:spacing w:val="-7"/>
          <w:sz w:val="17"/>
          <w:szCs w:val="17"/>
        </w:rPr>
        <w:t xml:space="preserve"> </w:t>
      </w:r>
      <w:r>
        <w:rPr>
          <w:rFonts w:hint="default" w:ascii="Arial" w:hAnsi="Arial" w:cs="Arial"/>
          <w:sz w:val="17"/>
          <w:szCs w:val="17"/>
        </w:rPr>
        <w:t>realização</w:t>
      </w:r>
      <w:r>
        <w:rPr>
          <w:rFonts w:hint="default" w:ascii="Arial" w:hAnsi="Arial" w:cs="Arial"/>
          <w:spacing w:val="-5"/>
          <w:sz w:val="17"/>
          <w:szCs w:val="17"/>
        </w:rPr>
        <w:t xml:space="preserve"> </w:t>
      </w:r>
      <w:r>
        <w:rPr>
          <w:rFonts w:hint="default" w:ascii="Arial" w:hAnsi="Arial" w:cs="Arial"/>
          <w:sz w:val="17"/>
          <w:szCs w:val="17"/>
        </w:rPr>
        <w:t>de</w:t>
      </w:r>
      <w:r>
        <w:rPr>
          <w:rFonts w:hint="default" w:ascii="Arial" w:hAnsi="Arial" w:cs="Arial"/>
          <w:spacing w:val="-6"/>
          <w:sz w:val="17"/>
          <w:szCs w:val="17"/>
        </w:rPr>
        <w:t xml:space="preserve"> </w:t>
      </w:r>
      <w:r>
        <w:rPr>
          <w:rFonts w:hint="default" w:ascii="Arial" w:hAnsi="Arial" w:cs="Arial"/>
          <w:sz w:val="17"/>
          <w:szCs w:val="17"/>
        </w:rPr>
        <w:t>reequilíbrio</w:t>
      </w:r>
      <w:r>
        <w:rPr>
          <w:rFonts w:hint="default" w:ascii="Arial" w:hAnsi="Arial" w:cs="Arial"/>
          <w:spacing w:val="-6"/>
          <w:sz w:val="17"/>
          <w:szCs w:val="17"/>
        </w:rPr>
        <w:t xml:space="preserve"> </w:t>
      </w:r>
      <w:r>
        <w:rPr>
          <w:rFonts w:hint="default" w:ascii="Arial" w:hAnsi="Arial" w:cs="Arial"/>
          <w:sz w:val="17"/>
          <w:szCs w:val="17"/>
        </w:rPr>
        <w:t>econômico-financeiro</w:t>
      </w:r>
      <w:r>
        <w:rPr>
          <w:rFonts w:hint="default" w:ascii="Arial" w:hAnsi="Arial" w:cs="Arial"/>
          <w:spacing w:val="-5"/>
          <w:sz w:val="17"/>
          <w:szCs w:val="17"/>
        </w:rPr>
        <w:t xml:space="preserve"> </w:t>
      </w:r>
      <w:r>
        <w:rPr>
          <w:rFonts w:hint="default" w:ascii="Arial" w:hAnsi="Arial" w:cs="Arial"/>
          <w:sz w:val="17"/>
          <w:szCs w:val="17"/>
        </w:rPr>
        <w:t>e</w:t>
      </w:r>
      <w:r>
        <w:rPr>
          <w:rFonts w:hint="default" w:ascii="Arial" w:hAnsi="Arial" w:cs="Arial"/>
          <w:spacing w:val="-5"/>
          <w:sz w:val="17"/>
          <w:szCs w:val="17"/>
        </w:rPr>
        <w:t xml:space="preserve"> </w:t>
      </w:r>
      <w:r>
        <w:rPr>
          <w:rFonts w:hint="default" w:ascii="Arial" w:hAnsi="Arial" w:cs="Arial"/>
          <w:sz w:val="17"/>
          <w:szCs w:val="17"/>
        </w:rPr>
        <w:t>da</w:t>
      </w:r>
      <w:r>
        <w:rPr>
          <w:rFonts w:hint="default" w:ascii="Arial" w:hAnsi="Arial" w:cs="Arial"/>
          <w:spacing w:val="-6"/>
          <w:sz w:val="17"/>
          <w:szCs w:val="17"/>
        </w:rPr>
        <w:t xml:space="preserve"> </w:t>
      </w:r>
      <w:r>
        <w:rPr>
          <w:rFonts w:hint="default" w:ascii="Arial" w:hAnsi="Arial" w:cs="Arial"/>
          <w:sz w:val="17"/>
          <w:szCs w:val="17"/>
        </w:rPr>
        <w:t>celebração</w:t>
      </w:r>
      <w:r>
        <w:rPr>
          <w:rFonts w:hint="default" w:ascii="Arial" w:hAnsi="Arial" w:cs="Arial"/>
          <w:spacing w:val="-5"/>
          <w:sz w:val="17"/>
          <w:szCs w:val="17"/>
        </w:rPr>
        <w:t xml:space="preserve"> </w:t>
      </w:r>
      <w:r>
        <w:rPr>
          <w:rFonts w:hint="default" w:ascii="Arial" w:hAnsi="Arial" w:cs="Arial"/>
          <w:sz w:val="17"/>
          <w:szCs w:val="17"/>
          <w:lang w:val="pt-BR"/>
        </w:rPr>
        <w:t xml:space="preserve">15.6 </w:t>
      </w:r>
      <w:r>
        <w:rPr>
          <w:rFonts w:hint="default" w:ascii="Arial" w:hAnsi="Arial" w:cs="Arial"/>
          <w:sz w:val="17"/>
          <w:szCs w:val="17"/>
        </w:rPr>
        <w:t>Compete ao Fiscal do Contrato acima identificado exercer a verificação concreta do</w:t>
      </w:r>
      <w:r>
        <w:rPr>
          <w:rFonts w:hint="default" w:ascii="Arial" w:hAnsi="Arial" w:cs="Arial"/>
          <w:spacing w:val="1"/>
          <w:sz w:val="17"/>
          <w:szCs w:val="17"/>
        </w:rPr>
        <w:t xml:space="preserve"> </w:t>
      </w:r>
      <w:r>
        <w:rPr>
          <w:rFonts w:hint="default" w:ascii="Arial" w:hAnsi="Arial" w:cs="Arial"/>
          <w:sz w:val="17"/>
          <w:szCs w:val="17"/>
        </w:rPr>
        <w:t xml:space="preserve">objeto, devendo o servidor designado verificar a qualidade e procedência da prestação do </w:t>
      </w:r>
      <w:r>
        <w:rPr>
          <w:rFonts w:hint="default" w:ascii="Arial" w:hAnsi="Arial" w:cs="Arial"/>
          <w:spacing w:val="-59"/>
          <w:sz w:val="17"/>
          <w:szCs w:val="17"/>
        </w:rPr>
        <w:t xml:space="preserve"> </w:t>
      </w:r>
      <w:r>
        <w:rPr>
          <w:rFonts w:hint="default" w:ascii="Arial" w:hAnsi="Arial" w:cs="Arial"/>
          <w:sz w:val="17"/>
          <w:szCs w:val="17"/>
        </w:rPr>
        <w:t xml:space="preserve">objeto. </w:t>
      </w:r>
    </w:p>
    <w:p w14:paraId="1BB51F47">
      <w:pPr>
        <w:pStyle w:val="220"/>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15.6 </w:t>
      </w:r>
      <w:r>
        <w:rPr>
          <w:rFonts w:hint="default" w:ascii="Arial" w:hAnsi="Arial" w:cs="Arial"/>
          <w:sz w:val="17"/>
          <w:szCs w:val="17"/>
        </w:rPr>
        <w:t>O</w:t>
      </w:r>
      <w:r>
        <w:rPr>
          <w:rFonts w:hint="default" w:ascii="Arial" w:hAnsi="Arial" w:cs="Arial"/>
          <w:spacing w:val="-10"/>
          <w:sz w:val="17"/>
          <w:szCs w:val="17"/>
        </w:rPr>
        <w:t xml:space="preserve"> </w:t>
      </w:r>
      <w:r>
        <w:rPr>
          <w:rFonts w:hint="default" w:ascii="Arial" w:hAnsi="Arial" w:cs="Arial"/>
          <w:sz w:val="17"/>
          <w:szCs w:val="17"/>
        </w:rPr>
        <w:t>fiscal</w:t>
      </w:r>
      <w:r>
        <w:rPr>
          <w:rFonts w:hint="default" w:ascii="Arial" w:hAnsi="Arial" w:cs="Arial"/>
          <w:spacing w:val="-9"/>
          <w:sz w:val="17"/>
          <w:szCs w:val="17"/>
        </w:rPr>
        <w:t xml:space="preserve"> </w:t>
      </w:r>
      <w:r>
        <w:rPr>
          <w:rFonts w:hint="default" w:ascii="Arial" w:hAnsi="Arial" w:cs="Arial"/>
          <w:sz w:val="17"/>
          <w:szCs w:val="17"/>
        </w:rPr>
        <w:t>do</w:t>
      </w:r>
      <w:r>
        <w:rPr>
          <w:rFonts w:hint="default" w:ascii="Arial" w:hAnsi="Arial" w:cs="Arial"/>
          <w:spacing w:val="-11"/>
          <w:sz w:val="17"/>
          <w:szCs w:val="17"/>
        </w:rPr>
        <w:t xml:space="preserve"> </w:t>
      </w:r>
      <w:r>
        <w:rPr>
          <w:rFonts w:hint="default" w:ascii="Arial" w:hAnsi="Arial" w:cs="Arial"/>
          <w:sz w:val="17"/>
          <w:szCs w:val="17"/>
        </w:rPr>
        <w:t>contrato</w:t>
      </w:r>
      <w:r>
        <w:rPr>
          <w:rFonts w:hint="default" w:ascii="Arial" w:hAnsi="Arial" w:cs="Arial"/>
          <w:spacing w:val="-10"/>
          <w:sz w:val="17"/>
          <w:szCs w:val="17"/>
        </w:rPr>
        <w:t xml:space="preserve"> </w:t>
      </w:r>
      <w:r>
        <w:rPr>
          <w:rFonts w:hint="default" w:ascii="Arial" w:hAnsi="Arial" w:cs="Arial"/>
          <w:sz w:val="17"/>
          <w:szCs w:val="17"/>
        </w:rPr>
        <w:t>anotará</w:t>
      </w:r>
      <w:r>
        <w:rPr>
          <w:rFonts w:hint="default" w:ascii="Arial" w:hAnsi="Arial" w:cs="Arial"/>
          <w:spacing w:val="-7"/>
          <w:sz w:val="17"/>
          <w:szCs w:val="17"/>
        </w:rPr>
        <w:t xml:space="preserve"> </w:t>
      </w:r>
      <w:r>
        <w:rPr>
          <w:rFonts w:hint="default" w:ascii="Arial" w:hAnsi="Arial" w:cs="Arial"/>
          <w:sz w:val="17"/>
          <w:szCs w:val="17"/>
        </w:rPr>
        <w:t>em</w:t>
      </w:r>
      <w:r>
        <w:rPr>
          <w:rFonts w:hint="default" w:ascii="Arial" w:hAnsi="Arial" w:cs="Arial"/>
          <w:spacing w:val="-9"/>
          <w:sz w:val="17"/>
          <w:szCs w:val="17"/>
        </w:rPr>
        <w:t xml:space="preserve"> </w:t>
      </w:r>
      <w:r>
        <w:rPr>
          <w:rFonts w:hint="default" w:ascii="Arial" w:hAnsi="Arial" w:cs="Arial"/>
          <w:sz w:val="17"/>
          <w:szCs w:val="17"/>
        </w:rPr>
        <w:t>registro</w:t>
      </w:r>
      <w:r>
        <w:rPr>
          <w:rFonts w:hint="default" w:ascii="Arial" w:hAnsi="Arial" w:cs="Arial"/>
          <w:spacing w:val="-8"/>
          <w:sz w:val="17"/>
          <w:szCs w:val="17"/>
        </w:rPr>
        <w:t xml:space="preserve"> </w:t>
      </w:r>
      <w:r>
        <w:rPr>
          <w:rFonts w:hint="default" w:ascii="Arial" w:hAnsi="Arial" w:cs="Arial"/>
          <w:sz w:val="17"/>
          <w:szCs w:val="17"/>
        </w:rPr>
        <w:t>próprio</w:t>
      </w:r>
      <w:r>
        <w:rPr>
          <w:rFonts w:hint="default" w:ascii="Arial" w:hAnsi="Arial" w:cs="Arial"/>
          <w:spacing w:val="-10"/>
          <w:sz w:val="17"/>
          <w:szCs w:val="17"/>
        </w:rPr>
        <w:t xml:space="preserve"> </w:t>
      </w:r>
      <w:r>
        <w:rPr>
          <w:rFonts w:hint="default" w:ascii="Arial" w:hAnsi="Arial" w:cs="Arial"/>
          <w:sz w:val="17"/>
          <w:szCs w:val="17"/>
        </w:rPr>
        <w:t>todas</w:t>
      </w:r>
      <w:r>
        <w:rPr>
          <w:rFonts w:hint="default" w:ascii="Arial" w:hAnsi="Arial" w:cs="Arial"/>
          <w:spacing w:val="-8"/>
          <w:sz w:val="17"/>
          <w:szCs w:val="17"/>
        </w:rPr>
        <w:t xml:space="preserve"> </w:t>
      </w:r>
      <w:r>
        <w:rPr>
          <w:rFonts w:hint="default" w:ascii="Arial" w:hAnsi="Arial" w:cs="Arial"/>
          <w:sz w:val="17"/>
          <w:szCs w:val="17"/>
        </w:rPr>
        <w:t>as</w:t>
      </w:r>
      <w:r>
        <w:rPr>
          <w:rFonts w:hint="default" w:ascii="Arial" w:hAnsi="Arial" w:cs="Arial"/>
          <w:spacing w:val="-10"/>
          <w:sz w:val="17"/>
          <w:szCs w:val="17"/>
        </w:rPr>
        <w:t xml:space="preserve"> </w:t>
      </w:r>
      <w:r>
        <w:rPr>
          <w:rFonts w:hint="default" w:ascii="Arial" w:hAnsi="Arial" w:cs="Arial"/>
          <w:sz w:val="17"/>
          <w:szCs w:val="17"/>
        </w:rPr>
        <w:t>ocorrências</w:t>
      </w:r>
      <w:r>
        <w:rPr>
          <w:rFonts w:hint="default" w:ascii="Arial" w:hAnsi="Arial" w:cs="Arial"/>
          <w:spacing w:val="-7"/>
          <w:sz w:val="17"/>
          <w:szCs w:val="17"/>
        </w:rPr>
        <w:t xml:space="preserve"> </w:t>
      </w:r>
      <w:r>
        <w:rPr>
          <w:rFonts w:hint="default" w:ascii="Arial" w:hAnsi="Arial" w:cs="Arial"/>
          <w:sz w:val="17"/>
          <w:szCs w:val="17"/>
        </w:rPr>
        <w:t>relacionadas</w:t>
      </w:r>
      <w:r>
        <w:rPr>
          <w:rFonts w:hint="default" w:ascii="Arial" w:hAnsi="Arial" w:cs="Arial"/>
          <w:spacing w:val="-8"/>
          <w:sz w:val="17"/>
          <w:szCs w:val="17"/>
        </w:rPr>
        <w:t xml:space="preserve"> </w:t>
      </w:r>
      <w:r>
        <w:rPr>
          <w:rFonts w:hint="default" w:ascii="Arial" w:hAnsi="Arial" w:cs="Arial"/>
          <w:sz w:val="17"/>
          <w:szCs w:val="17"/>
        </w:rPr>
        <w:t>com</w:t>
      </w:r>
      <w:r>
        <w:rPr>
          <w:rFonts w:hint="default" w:ascii="Arial" w:hAnsi="Arial" w:cs="Arial"/>
          <w:spacing w:val="-59"/>
          <w:sz w:val="17"/>
          <w:szCs w:val="17"/>
        </w:rPr>
        <w:t xml:space="preserve"> </w:t>
      </w:r>
      <w:r>
        <w:rPr>
          <w:rFonts w:hint="default" w:ascii="Arial" w:hAnsi="Arial" w:cs="Arial"/>
          <w:sz w:val="17"/>
          <w:szCs w:val="17"/>
        </w:rPr>
        <w:t>a execução do contrato, indicando dia, mês e ano, bem como o nome dos funcionários</w:t>
      </w:r>
      <w:r>
        <w:rPr>
          <w:rFonts w:hint="default" w:ascii="Arial" w:hAnsi="Arial" w:cs="Arial"/>
          <w:spacing w:val="1"/>
          <w:sz w:val="17"/>
          <w:szCs w:val="17"/>
        </w:rPr>
        <w:t xml:space="preserve"> </w:t>
      </w:r>
      <w:r>
        <w:rPr>
          <w:rFonts w:hint="default" w:ascii="Arial" w:hAnsi="Arial" w:cs="Arial"/>
          <w:sz w:val="17"/>
          <w:szCs w:val="17"/>
        </w:rPr>
        <w:t>eventualmente envolvidos, determinando o que for necessário à regularização das faltas</w:t>
      </w:r>
      <w:r>
        <w:rPr>
          <w:rFonts w:hint="default" w:ascii="Arial" w:hAnsi="Arial" w:cs="Arial"/>
          <w:spacing w:val="1"/>
          <w:sz w:val="17"/>
          <w:szCs w:val="17"/>
        </w:rPr>
        <w:t xml:space="preserve"> </w:t>
      </w:r>
      <w:r>
        <w:rPr>
          <w:rFonts w:hint="default" w:ascii="Arial" w:hAnsi="Arial" w:cs="Arial"/>
          <w:sz w:val="17"/>
          <w:szCs w:val="17"/>
        </w:rPr>
        <w:t>ou defeitos observados e encaminhando os apontamentos à autoridade competente para</w:t>
      </w:r>
      <w:r>
        <w:rPr>
          <w:rFonts w:hint="default" w:ascii="Arial" w:hAnsi="Arial" w:cs="Arial"/>
          <w:spacing w:val="1"/>
          <w:sz w:val="17"/>
          <w:szCs w:val="17"/>
        </w:rPr>
        <w:t xml:space="preserve"> </w:t>
      </w:r>
      <w:r>
        <w:rPr>
          <w:rFonts w:hint="default" w:ascii="Arial" w:hAnsi="Arial" w:cs="Arial"/>
          <w:sz w:val="17"/>
          <w:szCs w:val="17"/>
        </w:rPr>
        <w:t>as</w:t>
      </w:r>
      <w:r>
        <w:rPr>
          <w:rFonts w:hint="default" w:ascii="Arial" w:hAnsi="Arial" w:cs="Arial"/>
          <w:spacing w:val="-1"/>
          <w:sz w:val="17"/>
          <w:szCs w:val="17"/>
        </w:rPr>
        <w:t xml:space="preserve"> </w:t>
      </w:r>
      <w:r>
        <w:rPr>
          <w:rFonts w:hint="default" w:ascii="Arial" w:hAnsi="Arial" w:cs="Arial"/>
          <w:sz w:val="17"/>
          <w:szCs w:val="17"/>
        </w:rPr>
        <w:t>providências</w:t>
      </w:r>
      <w:r>
        <w:rPr>
          <w:rFonts w:hint="default" w:ascii="Arial" w:hAnsi="Arial" w:cs="Arial"/>
          <w:spacing w:val="-2"/>
          <w:sz w:val="17"/>
          <w:szCs w:val="17"/>
        </w:rPr>
        <w:t xml:space="preserve"> </w:t>
      </w:r>
      <w:r>
        <w:rPr>
          <w:rFonts w:hint="default" w:ascii="Arial" w:hAnsi="Arial" w:cs="Arial"/>
          <w:sz w:val="17"/>
          <w:szCs w:val="17"/>
        </w:rPr>
        <w:t>cabíveis.</w:t>
      </w:r>
    </w:p>
    <w:p w14:paraId="13FB15A9">
      <w:pPr>
        <w:pStyle w:val="220"/>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15.7 </w:t>
      </w:r>
      <w:r>
        <w:rPr>
          <w:rFonts w:hint="default" w:ascii="Arial" w:hAnsi="Arial" w:cs="Arial"/>
          <w:sz w:val="17"/>
          <w:szCs w:val="17"/>
        </w:rPr>
        <w:t>A fiscalização de que trata este item não exclui nem reduz a responsabilidade da</w:t>
      </w:r>
      <w:r>
        <w:rPr>
          <w:rFonts w:hint="default" w:ascii="Arial" w:hAnsi="Arial" w:cs="Arial"/>
          <w:spacing w:val="1"/>
          <w:sz w:val="17"/>
          <w:szCs w:val="17"/>
        </w:rPr>
        <w:t xml:space="preserve"> </w:t>
      </w:r>
      <w:r>
        <w:rPr>
          <w:rFonts w:hint="default" w:ascii="Arial" w:hAnsi="Arial" w:cs="Arial"/>
          <w:sz w:val="17"/>
          <w:szCs w:val="17"/>
        </w:rPr>
        <w:t>contratada,</w:t>
      </w:r>
      <w:r>
        <w:rPr>
          <w:rFonts w:hint="default" w:ascii="Arial" w:hAnsi="Arial" w:cs="Arial"/>
          <w:spacing w:val="-11"/>
          <w:sz w:val="17"/>
          <w:szCs w:val="17"/>
        </w:rPr>
        <w:t xml:space="preserve"> </w:t>
      </w:r>
      <w:r>
        <w:rPr>
          <w:rFonts w:hint="default" w:ascii="Arial" w:hAnsi="Arial" w:cs="Arial"/>
          <w:sz w:val="17"/>
          <w:szCs w:val="17"/>
        </w:rPr>
        <w:t>inclusive</w:t>
      </w:r>
      <w:r>
        <w:rPr>
          <w:rFonts w:hint="default" w:ascii="Arial" w:hAnsi="Arial" w:cs="Arial"/>
          <w:spacing w:val="-9"/>
          <w:sz w:val="17"/>
          <w:szCs w:val="17"/>
        </w:rPr>
        <w:t xml:space="preserve"> </w:t>
      </w:r>
      <w:r>
        <w:rPr>
          <w:rFonts w:hint="default" w:ascii="Arial" w:hAnsi="Arial" w:cs="Arial"/>
          <w:sz w:val="17"/>
          <w:szCs w:val="17"/>
        </w:rPr>
        <w:t>perante</w:t>
      </w:r>
      <w:r>
        <w:rPr>
          <w:rFonts w:hint="default" w:ascii="Arial" w:hAnsi="Arial" w:cs="Arial"/>
          <w:spacing w:val="-11"/>
          <w:sz w:val="17"/>
          <w:szCs w:val="17"/>
        </w:rPr>
        <w:t xml:space="preserve"> </w:t>
      </w:r>
      <w:r>
        <w:rPr>
          <w:rFonts w:hint="default" w:ascii="Arial" w:hAnsi="Arial" w:cs="Arial"/>
          <w:sz w:val="17"/>
          <w:szCs w:val="17"/>
        </w:rPr>
        <w:t>terceiros,</w:t>
      </w:r>
      <w:r>
        <w:rPr>
          <w:rFonts w:hint="default" w:ascii="Arial" w:hAnsi="Arial" w:cs="Arial"/>
          <w:spacing w:val="-10"/>
          <w:sz w:val="17"/>
          <w:szCs w:val="17"/>
        </w:rPr>
        <w:t xml:space="preserve"> </w:t>
      </w:r>
      <w:r>
        <w:rPr>
          <w:rFonts w:hint="default" w:ascii="Arial" w:hAnsi="Arial" w:cs="Arial"/>
          <w:sz w:val="17"/>
          <w:szCs w:val="17"/>
        </w:rPr>
        <w:t>por</w:t>
      </w:r>
      <w:r>
        <w:rPr>
          <w:rFonts w:hint="default" w:ascii="Arial" w:hAnsi="Arial" w:cs="Arial"/>
          <w:spacing w:val="-9"/>
          <w:sz w:val="17"/>
          <w:szCs w:val="17"/>
        </w:rPr>
        <w:t xml:space="preserve"> </w:t>
      </w:r>
      <w:r>
        <w:rPr>
          <w:rFonts w:hint="default" w:ascii="Arial" w:hAnsi="Arial" w:cs="Arial"/>
          <w:sz w:val="17"/>
          <w:szCs w:val="17"/>
        </w:rPr>
        <w:t>qualquer</w:t>
      </w:r>
      <w:r>
        <w:rPr>
          <w:rFonts w:hint="default" w:ascii="Arial" w:hAnsi="Arial" w:cs="Arial"/>
          <w:spacing w:val="-8"/>
          <w:sz w:val="17"/>
          <w:szCs w:val="17"/>
        </w:rPr>
        <w:t xml:space="preserve"> </w:t>
      </w:r>
      <w:r>
        <w:rPr>
          <w:rFonts w:hint="default" w:ascii="Arial" w:hAnsi="Arial" w:cs="Arial"/>
          <w:sz w:val="17"/>
          <w:szCs w:val="17"/>
        </w:rPr>
        <w:t>irregularidade,</w:t>
      </w:r>
      <w:r>
        <w:rPr>
          <w:rFonts w:hint="default" w:ascii="Arial" w:hAnsi="Arial" w:cs="Arial"/>
          <w:spacing w:val="-10"/>
          <w:sz w:val="17"/>
          <w:szCs w:val="17"/>
        </w:rPr>
        <w:t xml:space="preserve"> </w:t>
      </w:r>
      <w:r>
        <w:rPr>
          <w:rFonts w:hint="default" w:ascii="Arial" w:hAnsi="Arial" w:cs="Arial"/>
          <w:sz w:val="17"/>
          <w:szCs w:val="17"/>
        </w:rPr>
        <w:t>ainda</w:t>
      </w:r>
      <w:r>
        <w:rPr>
          <w:rFonts w:hint="default" w:ascii="Arial" w:hAnsi="Arial" w:cs="Arial"/>
          <w:spacing w:val="-11"/>
          <w:sz w:val="17"/>
          <w:szCs w:val="17"/>
        </w:rPr>
        <w:t xml:space="preserve"> </w:t>
      </w:r>
      <w:r>
        <w:rPr>
          <w:rFonts w:hint="default" w:ascii="Arial" w:hAnsi="Arial" w:cs="Arial"/>
          <w:sz w:val="17"/>
          <w:szCs w:val="17"/>
        </w:rPr>
        <w:t>que</w:t>
      </w:r>
      <w:r>
        <w:rPr>
          <w:rFonts w:hint="default" w:ascii="Arial" w:hAnsi="Arial" w:cs="Arial"/>
          <w:spacing w:val="-10"/>
          <w:sz w:val="17"/>
          <w:szCs w:val="17"/>
        </w:rPr>
        <w:t xml:space="preserve"> </w:t>
      </w:r>
      <w:r>
        <w:rPr>
          <w:rFonts w:hint="default" w:ascii="Arial" w:hAnsi="Arial" w:cs="Arial"/>
          <w:sz w:val="17"/>
          <w:szCs w:val="17"/>
        </w:rPr>
        <w:t>resultante</w:t>
      </w:r>
      <w:r>
        <w:rPr>
          <w:rFonts w:hint="default" w:ascii="Arial" w:hAnsi="Arial" w:cs="Arial"/>
          <w:spacing w:val="-1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imperfeições</w:t>
      </w:r>
      <w:r>
        <w:rPr>
          <w:rFonts w:hint="default" w:ascii="Arial" w:hAnsi="Arial" w:cs="Arial"/>
          <w:spacing w:val="1"/>
          <w:sz w:val="17"/>
          <w:szCs w:val="17"/>
        </w:rPr>
        <w:t xml:space="preserve"> </w:t>
      </w:r>
      <w:r>
        <w:rPr>
          <w:rFonts w:hint="default" w:ascii="Arial" w:hAnsi="Arial" w:cs="Arial"/>
          <w:sz w:val="17"/>
          <w:szCs w:val="17"/>
        </w:rPr>
        <w:t>técnicas,</w:t>
      </w:r>
      <w:r>
        <w:rPr>
          <w:rFonts w:hint="default" w:ascii="Arial" w:hAnsi="Arial" w:cs="Arial"/>
          <w:spacing w:val="1"/>
          <w:sz w:val="17"/>
          <w:szCs w:val="17"/>
        </w:rPr>
        <w:t xml:space="preserve"> </w:t>
      </w:r>
      <w:r>
        <w:rPr>
          <w:rFonts w:hint="default" w:ascii="Arial" w:hAnsi="Arial" w:cs="Arial"/>
          <w:sz w:val="17"/>
          <w:szCs w:val="17"/>
        </w:rPr>
        <w:t>vícios</w:t>
      </w:r>
      <w:r>
        <w:rPr>
          <w:rFonts w:hint="default" w:ascii="Arial" w:hAnsi="Arial" w:cs="Arial"/>
          <w:spacing w:val="1"/>
          <w:sz w:val="17"/>
          <w:szCs w:val="17"/>
        </w:rPr>
        <w:t xml:space="preserve"> </w:t>
      </w:r>
      <w:r>
        <w:rPr>
          <w:rFonts w:hint="default" w:ascii="Arial" w:hAnsi="Arial" w:cs="Arial"/>
          <w:sz w:val="17"/>
          <w:szCs w:val="17"/>
        </w:rPr>
        <w:t>redibitórios,</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emprego</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1"/>
          <w:sz w:val="17"/>
          <w:szCs w:val="17"/>
        </w:rPr>
        <w:t xml:space="preserve"> </w:t>
      </w:r>
      <w:r>
        <w:rPr>
          <w:rFonts w:hint="default" w:ascii="Arial" w:hAnsi="Arial" w:cs="Arial"/>
          <w:sz w:val="17"/>
          <w:szCs w:val="17"/>
        </w:rPr>
        <w:t>material</w:t>
      </w:r>
      <w:r>
        <w:rPr>
          <w:rFonts w:hint="default" w:ascii="Arial" w:hAnsi="Arial" w:cs="Arial"/>
          <w:spacing w:val="1"/>
          <w:sz w:val="17"/>
          <w:szCs w:val="17"/>
        </w:rPr>
        <w:t xml:space="preserve"> </w:t>
      </w:r>
      <w:r>
        <w:rPr>
          <w:rFonts w:hint="default" w:ascii="Arial" w:hAnsi="Arial" w:cs="Arial"/>
          <w:sz w:val="17"/>
          <w:szCs w:val="17"/>
        </w:rPr>
        <w:t>inadequado</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qualidade</w:t>
      </w:r>
      <w:r>
        <w:rPr>
          <w:rFonts w:hint="default" w:ascii="Arial" w:hAnsi="Arial" w:cs="Arial"/>
          <w:spacing w:val="1"/>
          <w:sz w:val="17"/>
          <w:szCs w:val="17"/>
        </w:rPr>
        <w:t xml:space="preserve"> </w:t>
      </w:r>
      <w:r>
        <w:rPr>
          <w:rFonts w:hint="default" w:ascii="Arial" w:hAnsi="Arial" w:cs="Arial"/>
          <w:sz w:val="17"/>
          <w:szCs w:val="17"/>
        </w:rPr>
        <w:t>inferior,</w:t>
      </w:r>
      <w:r>
        <w:rPr>
          <w:rFonts w:hint="default" w:ascii="Arial" w:hAnsi="Arial" w:cs="Arial"/>
          <w:spacing w:val="1"/>
          <w:sz w:val="17"/>
          <w:szCs w:val="17"/>
        </w:rPr>
        <w:t xml:space="preserve"> </w:t>
      </w:r>
      <w:r>
        <w:rPr>
          <w:rFonts w:hint="default" w:ascii="Arial" w:hAnsi="Arial" w:cs="Arial"/>
          <w:sz w:val="17"/>
          <w:szCs w:val="17"/>
        </w:rPr>
        <w:t>e,</w:t>
      </w:r>
      <w:r>
        <w:rPr>
          <w:rFonts w:hint="default" w:ascii="Arial" w:hAnsi="Arial" w:cs="Arial"/>
          <w:spacing w:val="1"/>
          <w:sz w:val="17"/>
          <w:szCs w:val="17"/>
        </w:rPr>
        <w:t xml:space="preserve"> </w:t>
      </w:r>
      <w:r>
        <w:rPr>
          <w:rFonts w:hint="default" w:ascii="Arial" w:hAnsi="Arial" w:cs="Arial"/>
          <w:sz w:val="17"/>
          <w:szCs w:val="17"/>
        </w:rPr>
        <w:t>na</w:t>
      </w:r>
      <w:r>
        <w:rPr>
          <w:rFonts w:hint="default" w:ascii="Arial" w:hAnsi="Arial" w:cs="Arial"/>
          <w:spacing w:val="1"/>
          <w:sz w:val="17"/>
          <w:szCs w:val="17"/>
        </w:rPr>
        <w:t xml:space="preserve"> </w:t>
      </w:r>
      <w:r>
        <w:rPr>
          <w:rFonts w:hint="default" w:ascii="Arial" w:hAnsi="Arial" w:cs="Arial"/>
          <w:sz w:val="17"/>
          <w:szCs w:val="17"/>
        </w:rPr>
        <w:t>ocorrência</w:t>
      </w:r>
      <w:r>
        <w:rPr>
          <w:rFonts w:hint="default" w:ascii="Arial" w:hAnsi="Arial" w:cs="Arial"/>
          <w:spacing w:val="1"/>
          <w:sz w:val="17"/>
          <w:szCs w:val="17"/>
        </w:rPr>
        <w:t xml:space="preserve"> </w:t>
      </w:r>
      <w:r>
        <w:rPr>
          <w:rFonts w:hint="default" w:ascii="Arial" w:hAnsi="Arial" w:cs="Arial"/>
          <w:sz w:val="17"/>
          <w:szCs w:val="17"/>
        </w:rPr>
        <w:t>desta,</w:t>
      </w:r>
      <w:r>
        <w:rPr>
          <w:rFonts w:hint="default" w:ascii="Arial" w:hAnsi="Arial" w:cs="Arial"/>
          <w:spacing w:val="1"/>
          <w:sz w:val="17"/>
          <w:szCs w:val="17"/>
        </w:rPr>
        <w:t xml:space="preserve"> </w:t>
      </w:r>
      <w:r>
        <w:rPr>
          <w:rFonts w:hint="default" w:ascii="Arial" w:hAnsi="Arial" w:cs="Arial"/>
          <w:sz w:val="17"/>
          <w:szCs w:val="17"/>
        </w:rPr>
        <w:t>não</w:t>
      </w:r>
      <w:r>
        <w:rPr>
          <w:rFonts w:hint="default" w:ascii="Arial" w:hAnsi="Arial" w:cs="Arial"/>
          <w:spacing w:val="1"/>
          <w:sz w:val="17"/>
          <w:szCs w:val="17"/>
        </w:rPr>
        <w:t xml:space="preserve"> </w:t>
      </w:r>
      <w:r>
        <w:rPr>
          <w:rFonts w:hint="default" w:ascii="Arial" w:hAnsi="Arial" w:cs="Arial"/>
          <w:sz w:val="17"/>
          <w:szCs w:val="17"/>
        </w:rPr>
        <w:t>implica</w:t>
      </w:r>
      <w:r>
        <w:rPr>
          <w:rFonts w:hint="default" w:ascii="Arial" w:hAnsi="Arial" w:cs="Arial"/>
          <w:spacing w:val="1"/>
          <w:sz w:val="17"/>
          <w:szCs w:val="17"/>
        </w:rPr>
        <w:t xml:space="preserve"> </w:t>
      </w:r>
      <w:r>
        <w:rPr>
          <w:rFonts w:hint="default" w:ascii="Arial" w:hAnsi="Arial" w:cs="Arial"/>
          <w:sz w:val="17"/>
          <w:szCs w:val="17"/>
        </w:rPr>
        <w:t>em</w:t>
      </w:r>
      <w:r>
        <w:rPr>
          <w:rFonts w:hint="default" w:ascii="Arial" w:hAnsi="Arial" w:cs="Arial"/>
          <w:spacing w:val="1"/>
          <w:sz w:val="17"/>
          <w:szCs w:val="17"/>
        </w:rPr>
        <w:t xml:space="preserve"> </w:t>
      </w:r>
      <w:r>
        <w:rPr>
          <w:rFonts w:hint="default" w:ascii="Arial" w:hAnsi="Arial" w:cs="Arial"/>
          <w:sz w:val="17"/>
          <w:szCs w:val="17"/>
        </w:rPr>
        <w:t>corresponsabilidade</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Administração ou de seus agentes e prepostos, de conformidade com  a Lei nº 14.133/2021.</w:t>
      </w:r>
    </w:p>
    <w:p w14:paraId="7C64B74E">
      <w:pPr>
        <w:tabs>
          <w:tab w:val="left" w:pos="567"/>
        </w:tabs>
        <w:spacing w:line="240" w:lineRule="auto"/>
        <w:jc w:val="both"/>
        <w:rPr>
          <w:rFonts w:hint="default" w:ascii="Arial" w:hAnsi="Arial" w:cs="Arial"/>
          <w:bCs/>
          <w:sz w:val="17"/>
          <w:szCs w:val="17"/>
        </w:rPr>
      </w:pPr>
    </w:p>
    <w:p w14:paraId="5C626867">
      <w:pPr>
        <w:spacing w:line="240" w:lineRule="auto"/>
        <w:jc w:val="both"/>
        <w:rPr>
          <w:rFonts w:hint="default" w:ascii="Arial" w:hAnsi="Arial" w:cs="Arial"/>
          <w:b/>
          <w:bCs/>
          <w:sz w:val="17"/>
          <w:szCs w:val="17"/>
        </w:rPr>
      </w:pPr>
      <w:r>
        <w:rPr>
          <w:rFonts w:hint="default" w:ascii="Arial" w:hAnsi="Arial" w:cs="Arial" w:eastAsiaTheme="minorHAnsi"/>
          <w:b/>
          <w:bCs/>
          <w:sz w:val="17"/>
          <w:szCs w:val="17"/>
        </w:rPr>
        <w:t xml:space="preserve">CLÁUSULA DÉCIMA QUINTA - DAS DISPOSIÇÕES FINAIS </w:t>
      </w:r>
    </w:p>
    <w:p w14:paraId="0A64A08E">
      <w:pPr>
        <w:spacing w:line="240" w:lineRule="auto"/>
        <w:jc w:val="both"/>
        <w:rPr>
          <w:rFonts w:hint="default" w:ascii="Arial" w:hAnsi="Arial" w:cs="Arial"/>
          <w:bCs/>
          <w:sz w:val="17"/>
          <w:szCs w:val="17"/>
        </w:rPr>
      </w:pPr>
      <w:r>
        <w:rPr>
          <w:rFonts w:hint="default" w:ascii="Arial" w:hAnsi="Arial" w:cs="Arial" w:eastAsiaTheme="minorHAnsi"/>
          <w:b/>
          <w:bCs/>
          <w:sz w:val="17"/>
          <w:szCs w:val="17"/>
        </w:rPr>
        <w:t xml:space="preserve">15.1. </w:t>
      </w:r>
      <w:r>
        <w:rPr>
          <w:rFonts w:hint="default" w:ascii="Arial" w:hAnsi="Arial" w:cs="Arial" w:eastAsiaTheme="minorHAnsi"/>
          <w:bCs/>
          <w:sz w:val="17"/>
          <w:szCs w:val="17"/>
        </w:rPr>
        <w:t>A questão decorrente da utilização da presente Ata, que não possam ser dirimidas administrativamente, serão processadas e julgadas na Justiça Estadual, no Foro da Cidade de Cataguases - MG, com exclusão de qualquer outro por mais privilegiado que seja, salvo nos casos previstos no art. 102, inciso I, alínea “d”, da Constituição Federal.</w:t>
      </w:r>
    </w:p>
    <w:p w14:paraId="6B741B43">
      <w:pPr>
        <w:spacing w:line="240" w:lineRule="auto"/>
        <w:jc w:val="both"/>
        <w:rPr>
          <w:rFonts w:hint="default" w:ascii="Arial" w:hAnsi="Arial" w:cs="Arial" w:eastAsiaTheme="minorHAnsi"/>
          <w:sz w:val="17"/>
          <w:szCs w:val="17"/>
        </w:rPr>
      </w:pPr>
      <w:r>
        <w:rPr>
          <w:rFonts w:hint="default" w:ascii="Arial" w:hAnsi="Arial" w:cs="Arial" w:eastAsiaTheme="minorHAnsi"/>
          <w:sz w:val="17"/>
          <w:szCs w:val="17"/>
        </w:rPr>
        <w:t>Cataguases, ___ de _de 202</w:t>
      </w:r>
      <w:r>
        <w:rPr>
          <w:rFonts w:hint="default" w:ascii="Arial" w:hAnsi="Arial" w:cs="Arial" w:eastAsiaTheme="minorHAnsi"/>
          <w:sz w:val="17"/>
          <w:szCs w:val="17"/>
          <w:lang w:val="pt-BR"/>
        </w:rPr>
        <w:t>5</w:t>
      </w:r>
      <w:r>
        <w:rPr>
          <w:rFonts w:hint="default" w:ascii="Arial" w:hAnsi="Arial" w:cs="Arial" w:eastAsiaTheme="minorHAnsi"/>
          <w:sz w:val="17"/>
          <w:szCs w:val="17"/>
        </w:rPr>
        <w:t>.</w:t>
      </w:r>
    </w:p>
    <w:p w14:paraId="15B00BE1">
      <w:pPr>
        <w:spacing w:line="240" w:lineRule="auto"/>
        <w:jc w:val="both"/>
        <w:rPr>
          <w:rFonts w:hint="default" w:ascii="Arial" w:hAnsi="Arial" w:cs="Arial" w:eastAsiaTheme="minorHAnsi"/>
          <w:sz w:val="17"/>
          <w:szCs w:val="17"/>
        </w:rPr>
      </w:pPr>
    </w:p>
    <w:p w14:paraId="0BD7E3B4">
      <w:pPr>
        <w:spacing w:line="240" w:lineRule="auto"/>
        <w:jc w:val="both"/>
        <w:rPr>
          <w:rFonts w:hint="default" w:ascii="Arial" w:hAnsi="Arial" w:cs="Arial" w:eastAsiaTheme="minorHAnsi"/>
          <w:bCs/>
          <w:color w:val="000000"/>
          <w:sz w:val="17"/>
          <w:szCs w:val="17"/>
        </w:rPr>
      </w:pPr>
      <w:r>
        <w:rPr>
          <w:rFonts w:hint="default" w:ascii="Arial" w:hAnsi="Arial" w:cs="Arial" w:eastAsiaTheme="minorHAnsi"/>
          <w:sz w:val="17"/>
          <w:szCs w:val="17"/>
        </w:rPr>
        <w:t>__________________________                                                           __________________________</w:t>
      </w:r>
      <w:r>
        <w:rPr>
          <w:rFonts w:hint="default" w:ascii="Arial" w:hAnsi="Arial" w:cs="Arial" w:eastAsiaTheme="minorHAnsi"/>
          <w:bCs/>
          <w:color w:val="000000"/>
          <w:sz w:val="17"/>
          <w:szCs w:val="17"/>
        </w:rPr>
        <w:t xml:space="preserve">     </w:t>
      </w:r>
    </w:p>
    <w:p w14:paraId="3576732E">
      <w:pPr>
        <w:spacing w:line="240" w:lineRule="auto"/>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 xml:space="preserve"> Pregoeiro                                                                                                        Prefeito de Cataguases</w:t>
      </w:r>
    </w:p>
    <w:p w14:paraId="613DB5BE">
      <w:pPr>
        <w:spacing w:line="240" w:lineRule="auto"/>
        <w:jc w:val="both"/>
        <w:rPr>
          <w:rFonts w:hint="default" w:ascii="Arial" w:hAnsi="Arial" w:cs="Arial" w:eastAsiaTheme="minorHAnsi"/>
          <w:sz w:val="17"/>
          <w:szCs w:val="17"/>
        </w:rPr>
      </w:pPr>
      <w:r>
        <w:rPr>
          <w:rFonts w:hint="default" w:ascii="Arial" w:hAnsi="Arial" w:cs="Arial" w:eastAsiaTheme="minorHAnsi"/>
          <w:sz w:val="17"/>
          <w:szCs w:val="17"/>
        </w:rPr>
        <w:t>_________________________                                                                __________________________</w:t>
      </w:r>
    </w:p>
    <w:p w14:paraId="772C8A4D">
      <w:pPr>
        <w:spacing w:line="240" w:lineRule="auto"/>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Procurador Geral do Município</w:t>
      </w:r>
      <w:r>
        <w:rPr>
          <w:rFonts w:hint="default" w:ascii="Arial" w:hAnsi="Arial" w:cs="Arial" w:eastAsiaTheme="minorHAnsi"/>
          <w:bCs/>
          <w:color w:val="000000"/>
          <w:sz w:val="17"/>
          <w:szCs w:val="17"/>
        </w:rPr>
        <w:tab/>
      </w:r>
      <w:r>
        <w:rPr>
          <w:rFonts w:hint="default" w:ascii="Arial" w:hAnsi="Arial" w:cs="Arial" w:eastAsiaTheme="minorHAnsi"/>
          <w:bCs/>
          <w:color w:val="000000"/>
          <w:sz w:val="17"/>
          <w:szCs w:val="17"/>
        </w:rPr>
        <w:tab/>
      </w:r>
    </w:p>
    <w:p w14:paraId="4DB28E67">
      <w:pPr>
        <w:spacing w:line="240" w:lineRule="auto"/>
        <w:jc w:val="both"/>
        <w:rPr>
          <w:rFonts w:hint="default" w:ascii="Arial" w:hAnsi="Arial" w:cs="Arial"/>
          <w:bCs/>
          <w:color w:val="000000"/>
          <w:sz w:val="17"/>
          <w:szCs w:val="17"/>
        </w:rPr>
      </w:pPr>
    </w:p>
    <w:p w14:paraId="7FC0E598">
      <w:pPr>
        <w:spacing w:line="240" w:lineRule="auto"/>
        <w:ind w:left="-284" w:firstLine="284"/>
        <w:jc w:val="both"/>
        <w:rPr>
          <w:rFonts w:hint="default" w:ascii="Arial" w:hAnsi="Arial" w:cs="Arial" w:eastAsiaTheme="minorHAnsi"/>
          <w:sz w:val="17"/>
          <w:szCs w:val="17"/>
        </w:rPr>
      </w:pPr>
      <w:r>
        <w:rPr>
          <w:rFonts w:hint="default" w:ascii="Arial" w:hAnsi="Arial" w:cs="Arial" w:eastAsiaTheme="minorHAnsi"/>
          <w:bCs/>
          <w:color w:val="000000"/>
          <w:sz w:val="17"/>
          <w:szCs w:val="17"/>
        </w:rPr>
        <w:t xml:space="preserve">Testemunhas: </w:t>
      </w:r>
      <w:r>
        <w:rPr>
          <w:rFonts w:hint="default" w:ascii="Arial" w:hAnsi="Arial" w:cs="Arial" w:eastAsiaTheme="minorHAnsi"/>
          <w:sz w:val="17"/>
          <w:szCs w:val="17"/>
        </w:rPr>
        <w:t>__________________________</w:t>
      </w:r>
    </w:p>
    <w:p w14:paraId="1E339BC3">
      <w:pPr>
        <w:ind w:left="-284" w:firstLine="284"/>
        <w:jc w:val="both"/>
        <w:rPr>
          <w:rFonts w:ascii="Arial" w:hAnsi="Arial" w:cs="Arial" w:eastAsiaTheme="minorHAnsi"/>
          <w:sz w:val="18"/>
          <w:szCs w:val="18"/>
        </w:rPr>
      </w:pPr>
    </w:p>
    <w:p w14:paraId="76BE78E3">
      <w:pPr>
        <w:ind w:left="-284" w:firstLine="284"/>
        <w:jc w:val="both"/>
        <w:rPr>
          <w:rFonts w:ascii="Arial" w:hAnsi="Arial" w:cs="Arial" w:eastAsiaTheme="minorHAnsi"/>
          <w:sz w:val="18"/>
          <w:szCs w:val="18"/>
        </w:rPr>
      </w:pPr>
    </w:p>
    <w:p w14:paraId="226F2EC1">
      <w:pPr>
        <w:ind w:left="-284" w:firstLine="284"/>
        <w:jc w:val="both"/>
        <w:rPr>
          <w:rFonts w:ascii="Arial" w:hAnsi="Arial" w:cs="Arial" w:eastAsiaTheme="minorHAnsi"/>
          <w:sz w:val="18"/>
          <w:szCs w:val="18"/>
        </w:rPr>
      </w:pPr>
    </w:p>
    <w:p w14:paraId="3A60E5DE">
      <w:pPr>
        <w:ind w:left="-284" w:firstLine="284"/>
        <w:jc w:val="both"/>
        <w:rPr>
          <w:rFonts w:ascii="Arial" w:hAnsi="Arial" w:cs="Arial" w:eastAsiaTheme="minorHAnsi"/>
          <w:sz w:val="18"/>
          <w:szCs w:val="18"/>
        </w:rPr>
      </w:pPr>
    </w:p>
    <w:p w14:paraId="6430B04A">
      <w:pPr>
        <w:ind w:left="-284" w:firstLine="284"/>
        <w:jc w:val="both"/>
        <w:rPr>
          <w:rFonts w:ascii="Arial" w:hAnsi="Arial" w:cs="Arial" w:eastAsiaTheme="minorHAnsi"/>
          <w:sz w:val="18"/>
          <w:szCs w:val="18"/>
        </w:rPr>
      </w:pPr>
    </w:p>
    <w:p w14:paraId="7EF1ACDD">
      <w:pPr>
        <w:ind w:left="-284" w:firstLine="284"/>
        <w:jc w:val="both"/>
        <w:rPr>
          <w:rFonts w:ascii="Arial" w:hAnsi="Arial" w:cs="Arial" w:eastAsiaTheme="minorHAnsi"/>
          <w:sz w:val="18"/>
          <w:szCs w:val="18"/>
        </w:rPr>
      </w:pPr>
    </w:p>
    <w:p w14:paraId="11D9E84E">
      <w:pPr>
        <w:ind w:left="-284" w:firstLine="284"/>
        <w:jc w:val="both"/>
        <w:rPr>
          <w:rFonts w:ascii="Arial" w:hAnsi="Arial" w:cs="Arial" w:eastAsiaTheme="minorHAnsi"/>
          <w:sz w:val="18"/>
          <w:szCs w:val="18"/>
        </w:rPr>
      </w:pPr>
    </w:p>
    <w:p w14:paraId="59AA532A">
      <w:pPr>
        <w:ind w:left="-284" w:firstLine="284"/>
        <w:jc w:val="both"/>
        <w:rPr>
          <w:rFonts w:ascii="Arial" w:hAnsi="Arial" w:cs="Arial" w:eastAsiaTheme="minorHAnsi"/>
          <w:sz w:val="18"/>
          <w:szCs w:val="18"/>
        </w:rPr>
      </w:pPr>
    </w:p>
    <w:p w14:paraId="0FEDE878">
      <w:pPr>
        <w:ind w:left="-284" w:firstLine="284"/>
        <w:jc w:val="both"/>
        <w:rPr>
          <w:rFonts w:ascii="Arial" w:hAnsi="Arial" w:cs="Arial" w:eastAsiaTheme="minorHAnsi"/>
          <w:sz w:val="18"/>
          <w:szCs w:val="18"/>
        </w:rPr>
      </w:pPr>
    </w:p>
    <w:p w14:paraId="1AEC6342">
      <w:pPr>
        <w:ind w:left="-284" w:firstLine="284"/>
        <w:jc w:val="both"/>
        <w:rPr>
          <w:rFonts w:ascii="Arial" w:hAnsi="Arial" w:cs="Arial" w:eastAsiaTheme="minorHAnsi"/>
          <w:sz w:val="18"/>
          <w:szCs w:val="18"/>
        </w:rPr>
      </w:pPr>
    </w:p>
    <w:p w14:paraId="4947FD3F">
      <w:pPr>
        <w:ind w:left="-284" w:firstLine="284"/>
        <w:jc w:val="both"/>
        <w:rPr>
          <w:rFonts w:ascii="Arial" w:hAnsi="Arial" w:cs="Arial" w:eastAsiaTheme="minorHAnsi"/>
          <w:sz w:val="18"/>
          <w:szCs w:val="18"/>
        </w:rPr>
      </w:pPr>
    </w:p>
    <w:p w14:paraId="6623ABFF">
      <w:pPr>
        <w:ind w:left="-284" w:firstLine="284"/>
        <w:jc w:val="both"/>
        <w:rPr>
          <w:rFonts w:ascii="Arial" w:hAnsi="Arial" w:cs="Arial" w:eastAsiaTheme="minorHAnsi"/>
          <w:sz w:val="18"/>
          <w:szCs w:val="18"/>
        </w:rPr>
      </w:pPr>
    </w:p>
    <w:p w14:paraId="5B4DBABA">
      <w:pPr>
        <w:ind w:left="-284" w:firstLine="284"/>
        <w:jc w:val="both"/>
        <w:rPr>
          <w:rFonts w:ascii="Arial" w:hAnsi="Arial" w:cs="Arial" w:eastAsiaTheme="minorHAnsi"/>
          <w:sz w:val="18"/>
          <w:szCs w:val="18"/>
        </w:rPr>
      </w:pPr>
    </w:p>
    <w:p w14:paraId="3E80D472">
      <w:pPr>
        <w:ind w:left="-284" w:firstLine="284"/>
        <w:jc w:val="both"/>
        <w:rPr>
          <w:rFonts w:ascii="Arial" w:hAnsi="Arial" w:cs="Arial" w:eastAsiaTheme="minorHAnsi"/>
          <w:sz w:val="18"/>
          <w:szCs w:val="18"/>
        </w:rPr>
      </w:pPr>
    </w:p>
    <w:p w14:paraId="31908783">
      <w:pPr>
        <w:ind w:left="-284" w:firstLine="284"/>
        <w:jc w:val="both"/>
        <w:rPr>
          <w:rFonts w:ascii="Arial" w:hAnsi="Arial" w:cs="Arial" w:eastAsiaTheme="minorHAnsi"/>
          <w:sz w:val="18"/>
          <w:szCs w:val="18"/>
        </w:rPr>
      </w:pPr>
    </w:p>
    <w:p w14:paraId="057F6984">
      <w:pPr>
        <w:ind w:left="-284" w:firstLine="284"/>
        <w:jc w:val="both"/>
        <w:rPr>
          <w:rFonts w:ascii="Arial" w:hAnsi="Arial" w:cs="Arial" w:eastAsiaTheme="minorHAnsi"/>
          <w:sz w:val="18"/>
          <w:szCs w:val="18"/>
        </w:rPr>
      </w:pPr>
    </w:p>
    <w:p w14:paraId="4ADFD54A">
      <w:pPr>
        <w:ind w:left="-284" w:firstLine="284"/>
        <w:jc w:val="both"/>
        <w:rPr>
          <w:rFonts w:ascii="Arial" w:hAnsi="Arial" w:cs="Arial" w:eastAsiaTheme="minorHAnsi"/>
          <w:sz w:val="18"/>
          <w:szCs w:val="18"/>
        </w:rPr>
      </w:pPr>
    </w:p>
    <w:p w14:paraId="365FD14B">
      <w:pPr>
        <w:ind w:left="-284" w:firstLine="284"/>
        <w:jc w:val="both"/>
        <w:rPr>
          <w:rFonts w:ascii="Arial" w:hAnsi="Arial" w:cs="Arial" w:eastAsiaTheme="minorHAnsi"/>
          <w:sz w:val="18"/>
          <w:szCs w:val="18"/>
        </w:rPr>
      </w:pPr>
    </w:p>
    <w:p w14:paraId="5DDCFD98">
      <w:pPr>
        <w:ind w:left="-284" w:firstLine="284"/>
        <w:jc w:val="both"/>
        <w:rPr>
          <w:rFonts w:ascii="Arial" w:hAnsi="Arial" w:cs="Arial" w:eastAsiaTheme="minorHAnsi"/>
          <w:sz w:val="18"/>
          <w:szCs w:val="18"/>
        </w:rPr>
      </w:pPr>
    </w:p>
    <w:p w14:paraId="478D6F10">
      <w:pPr>
        <w:ind w:left="-284" w:firstLine="284"/>
        <w:jc w:val="both"/>
        <w:rPr>
          <w:rFonts w:ascii="Arial" w:hAnsi="Arial" w:cs="Arial" w:eastAsiaTheme="minorHAnsi"/>
          <w:sz w:val="18"/>
          <w:szCs w:val="18"/>
        </w:rPr>
      </w:pPr>
    </w:p>
    <w:p w14:paraId="705C8883">
      <w:pPr>
        <w:ind w:left="-284" w:firstLine="284"/>
        <w:jc w:val="both"/>
        <w:rPr>
          <w:rFonts w:ascii="Arial" w:hAnsi="Arial" w:cs="Arial" w:eastAsiaTheme="minorHAnsi"/>
          <w:sz w:val="18"/>
          <w:szCs w:val="18"/>
        </w:rPr>
      </w:pPr>
    </w:p>
    <w:p w14:paraId="2BA2A9B4">
      <w:pPr>
        <w:ind w:left="-284" w:firstLine="284"/>
        <w:jc w:val="both"/>
        <w:rPr>
          <w:rFonts w:ascii="Arial" w:hAnsi="Arial" w:cs="Arial" w:eastAsiaTheme="minorHAnsi"/>
          <w:sz w:val="18"/>
          <w:szCs w:val="18"/>
        </w:rPr>
      </w:pPr>
    </w:p>
    <w:p w14:paraId="3B58B513">
      <w:pPr>
        <w:ind w:left="-284" w:firstLine="284"/>
        <w:jc w:val="both"/>
        <w:rPr>
          <w:rFonts w:ascii="Arial" w:hAnsi="Arial" w:cs="Arial" w:eastAsiaTheme="minorHAnsi"/>
          <w:sz w:val="18"/>
          <w:szCs w:val="18"/>
        </w:rPr>
      </w:pPr>
    </w:p>
    <w:p w14:paraId="5260DD80">
      <w:pPr>
        <w:ind w:left="-284" w:firstLine="284"/>
        <w:jc w:val="both"/>
        <w:rPr>
          <w:rFonts w:ascii="Arial" w:hAnsi="Arial" w:cs="Arial" w:eastAsiaTheme="minorHAnsi"/>
          <w:sz w:val="18"/>
          <w:szCs w:val="18"/>
        </w:rPr>
      </w:pPr>
    </w:p>
    <w:p w14:paraId="0D33A490">
      <w:pPr>
        <w:ind w:left="-284" w:firstLine="284"/>
        <w:jc w:val="both"/>
        <w:rPr>
          <w:rFonts w:ascii="Arial" w:hAnsi="Arial" w:cs="Arial" w:eastAsiaTheme="minorHAnsi"/>
          <w:sz w:val="18"/>
          <w:szCs w:val="18"/>
        </w:rPr>
      </w:pPr>
    </w:p>
    <w:p w14:paraId="750CCAC5">
      <w:pPr>
        <w:ind w:left="-284" w:firstLine="284"/>
        <w:jc w:val="both"/>
        <w:rPr>
          <w:rFonts w:ascii="Arial" w:hAnsi="Arial" w:cs="Arial" w:eastAsiaTheme="minorHAnsi"/>
          <w:sz w:val="18"/>
          <w:szCs w:val="18"/>
        </w:rPr>
      </w:pPr>
    </w:p>
    <w:p w14:paraId="355420C1">
      <w:pPr>
        <w:ind w:left="-284" w:firstLine="284"/>
        <w:jc w:val="both"/>
        <w:rPr>
          <w:rFonts w:ascii="Arial" w:hAnsi="Arial" w:cs="Arial" w:eastAsiaTheme="minorHAnsi"/>
          <w:sz w:val="18"/>
          <w:szCs w:val="18"/>
        </w:rPr>
      </w:pPr>
    </w:p>
    <w:p w14:paraId="64516118">
      <w:pPr>
        <w:ind w:left="-284" w:firstLine="284"/>
        <w:jc w:val="both"/>
        <w:rPr>
          <w:rFonts w:ascii="Arial" w:hAnsi="Arial" w:cs="Arial" w:eastAsiaTheme="minorHAnsi"/>
          <w:sz w:val="18"/>
          <w:szCs w:val="18"/>
        </w:rPr>
      </w:pPr>
    </w:p>
    <w:p w14:paraId="4C4B1B20">
      <w:pPr>
        <w:ind w:left="-284" w:firstLine="284"/>
        <w:jc w:val="both"/>
        <w:rPr>
          <w:rFonts w:ascii="Arial" w:hAnsi="Arial" w:cs="Arial" w:eastAsiaTheme="minorHAnsi"/>
          <w:sz w:val="18"/>
          <w:szCs w:val="18"/>
        </w:rPr>
      </w:pPr>
    </w:p>
    <w:p w14:paraId="08EF1589">
      <w:pPr>
        <w:ind w:left="-284" w:firstLine="284"/>
        <w:jc w:val="both"/>
        <w:rPr>
          <w:rFonts w:ascii="Arial" w:hAnsi="Arial" w:cs="Arial" w:eastAsiaTheme="minorHAnsi"/>
          <w:sz w:val="18"/>
          <w:szCs w:val="18"/>
        </w:rPr>
      </w:pPr>
    </w:p>
    <w:p w14:paraId="41170BE6">
      <w:pPr>
        <w:ind w:left="-284" w:firstLine="284"/>
        <w:jc w:val="both"/>
        <w:rPr>
          <w:rFonts w:ascii="Arial" w:hAnsi="Arial" w:cs="Arial" w:eastAsiaTheme="minorHAnsi"/>
          <w:sz w:val="18"/>
          <w:szCs w:val="18"/>
        </w:rPr>
      </w:pPr>
    </w:p>
    <w:p w14:paraId="7DA50D88">
      <w:pPr>
        <w:ind w:left="-284" w:firstLine="284"/>
        <w:jc w:val="both"/>
        <w:rPr>
          <w:rFonts w:ascii="Arial" w:hAnsi="Arial" w:cs="Arial" w:eastAsiaTheme="minorHAnsi"/>
          <w:sz w:val="18"/>
          <w:szCs w:val="18"/>
        </w:rPr>
      </w:pPr>
    </w:p>
    <w:p w14:paraId="061F255E">
      <w:pPr>
        <w:ind w:left="-284" w:firstLine="284"/>
        <w:jc w:val="both"/>
        <w:rPr>
          <w:rFonts w:ascii="Arial" w:hAnsi="Arial" w:cs="Arial" w:eastAsiaTheme="minorHAnsi"/>
          <w:sz w:val="18"/>
          <w:szCs w:val="18"/>
        </w:rPr>
      </w:pPr>
    </w:p>
    <w:p w14:paraId="10A23216">
      <w:pPr>
        <w:ind w:left="-284" w:firstLine="284"/>
        <w:jc w:val="both"/>
        <w:rPr>
          <w:rFonts w:ascii="Arial" w:hAnsi="Arial" w:cs="Arial" w:eastAsiaTheme="minorHAnsi"/>
          <w:sz w:val="18"/>
          <w:szCs w:val="18"/>
        </w:rPr>
      </w:pPr>
    </w:p>
    <w:p w14:paraId="5C7FC100">
      <w:pPr>
        <w:ind w:left="-284" w:firstLine="284"/>
        <w:jc w:val="both"/>
        <w:rPr>
          <w:rFonts w:ascii="Arial" w:hAnsi="Arial" w:cs="Arial" w:eastAsiaTheme="minorHAnsi"/>
          <w:sz w:val="18"/>
          <w:szCs w:val="18"/>
        </w:rPr>
      </w:pPr>
    </w:p>
    <w:p w14:paraId="5DBAE57C">
      <w:pPr>
        <w:ind w:left="-284" w:firstLine="284"/>
        <w:jc w:val="both"/>
        <w:rPr>
          <w:rFonts w:ascii="Arial" w:hAnsi="Arial" w:cs="Arial" w:eastAsiaTheme="minorHAnsi"/>
          <w:sz w:val="18"/>
          <w:szCs w:val="18"/>
        </w:rPr>
      </w:pPr>
    </w:p>
    <w:p w14:paraId="4D6879B9">
      <w:pPr>
        <w:ind w:left="-284" w:firstLine="284"/>
        <w:jc w:val="both"/>
        <w:rPr>
          <w:rFonts w:ascii="Arial" w:hAnsi="Arial" w:cs="Arial" w:eastAsiaTheme="minorHAnsi"/>
          <w:sz w:val="18"/>
          <w:szCs w:val="18"/>
        </w:rPr>
      </w:pPr>
    </w:p>
    <w:p w14:paraId="080F3381">
      <w:pPr>
        <w:ind w:left="-284" w:firstLine="284"/>
        <w:jc w:val="both"/>
        <w:rPr>
          <w:rFonts w:ascii="Arial" w:hAnsi="Arial" w:cs="Arial" w:eastAsiaTheme="minorHAnsi"/>
          <w:sz w:val="18"/>
          <w:szCs w:val="18"/>
        </w:rPr>
      </w:pPr>
    </w:p>
    <w:p w14:paraId="3F9B6766">
      <w:pPr>
        <w:ind w:left="-284" w:firstLine="284"/>
        <w:jc w:val="both"/>
        <w:rPr>
          <w:rFonts w:ascii="Arial" w:hAnsi="Arial" w:cs="Arial" w:eastAsiaTheme="minorHAnsi"/>
          <w:sz w:val="18"/>
          <w:szCs w:val="18"/>
        </w:rPr>
      </w:pPr>
    </w:p>
    <w:p w14:paraId="75E7384C">
      <w:pPr>
        <w:ind w:left="-284" w:firstLine="284"/>
        <w:jc w:val="both"/>
        <w:rPr>
          <w:rFonts w:ascii="Arial" w:hAnsi="Arial" w:cs="Arial" w:eastAsiaTheme="minorHAnsi"/>
          <w:sz w:val="18"/>
          <w:szCs w:val="18"/>
        </w:rPr>
      </w:pPr>
    </w:p>
    <w:p w14:paraId="4C461360">
      <w:pPr>
        <w:ind w:left="-284" w:firstLine="284"/>
        <w:jc w:val="both"/>
        <w:rPr>
          <w:rFonts w:ascii="Arial" w:hAnsi="Arial" w:cs="Arial" w:eastAsiaTheme="minorHAnsi"/>
          <w:sz w:val="18"/>
          <w:szCs w:val="18"/>
        </w:rPr>
      </w:pPr>
    </w:p>
    <w:p w14:paraId="6CC2EB8E">
      <w:pPr>
        <w:ind w:left="-284" w:firstLine="284"/>
        <w:jc w:val="both"/>
        <w:rPr>
          <w:rFonts w:ascii="Arial" w:hAnsi="Arial" w:cs="Arial" w:eastAsiaTheme="minorHAnsi"/>
          <w:sz w:val="18"/>
          <w:szCs w:val="18"/>
        </w:rPr>
      </w:pPr>
    </w:p>
    <w:p w14:paraId="65E6AC42">
      <w:pPr>
        <w:ind w:left="-284" w:firstLine="284"/>
        <w:jc w:val="both"/>
        <w:rPr>
          <w:rFonts w:ascii="Arial" w:hAnsi="Arial" w:cs="Arial" w:eastAsiaTheme="minorHAnsi"/>
          <w:sz w:val="18"/>
          <w:szCs w:val="18"/>
        </w:rPr>
      </w:pPr>
    </w:p>
    <w:p w14:paraId="79F2B30B">
      <w:pPr>
        <w:ind w:left="-284" w:firstLine="284"/>
        <w:jc w:val="both"/>
        <w:rPr>
          <w:rFonts w:ascii="Arial" w:hAnsi="Arial" w:cs="Arial" w:eastAsiaTheme="minorHAnsi"/>
          <w:sz w:val="18"/>
          <w:szCs w:val="18"/>
        </w:rPr>
      </w:pPr>
    </w:p>
    <w:p w14:paraId="1ADBE31F">
      <w:pPr>
        <w:ind w:left="-284" w:firstLine="284"/>
        <w:jc w:val="both"/>
        <w:rPr>
          <w:rFonts w:ascii="Arial" w:hAnsi="Arial" w:cs="Arial" w:eastAsiaTheme="minorHAnsi"/>
          <w:sz w:val="18"/>
          <w:szCs w:val="18"/>
        </w:rPr>
      </w:pPr>
    </w:p>
    <w:p w14:paraId="47ED0200">
      <w:pPr>
        <w:ind w:left="-284" w:firstLine="284"/>
        <w:jc w:val="both"/>
        <w:rPr>
          <w:rFonts w:ascii="Arial" w:hAnsi="Arial" w:cs="Arial" w:eastAsiaTheme="minorHAnsi"/>
          <w:sz w:val="18"/>
          <w:szCs w:val="18"/>
        </w:rPr>
      </w:pPr>
    </w:p>
    <w:p w14:paraId="314CBE97">
      <w:pPr>
        <w:ind w:left="-284" w:firstLine="284"/>
        <w:jc w:val="both"/>
        <w:rPr>
          <w:rFonts w:ascii="Arial" w:hAnsi="Arial" w:cs="Arial" w:eastAsiaTheme="minorHAnsi"/>
          <w:sz w:val="18"/>
          <w:szCs w:val="18"/>
        </w:rPr>
      </w:pPr>
    </w:p>
    <w:p w14:paraId="257B518E">
      <w:pPr>
        <w:ind w:left="-284" w:firstLine="284"/>
        <w:jc w:val="both"/>
        <w:rPr>
          <w:rFonts w:ascii="Arial" w:hAnsi="Arial" w:cs="Arial" w:eastAsiaTheme="minorHAnsi"/>
          <w:sz w:val="18"/>
          <w:szCs w:val="18"/>
        </w:rPr>
      </w:pPr>
    </w:p>
    <w:p w14:paraId="12672E93">
      <w:pPr>
        <w:ind w:left="-284" w:firstLine="284"/>
        <w:jc w:val="both"/>
        <w:rPr>
          <w:rFonts w:ascii="Arial" w:hAnsi="Arial" w:cs="Arial" w:eastAsiaTheme="minorHAnsi"/>
          <w:sz w:val="18"/>
          <w:szCs w:val="18"/>
        </w:rPr>
      </w:pPr>
    </w:p>
    <w:p w14:paraId="625F5558">
      <w:pPr>
        <w:ind w:left="-284" w:firstLine="284"/>
        <w:jc w:val="both"/>
        <w:rPr>
          <w:rFonts w:ascii="Arial" w:hAnsi="Arial" w:cs="Arial" w:eastAsiaTheme="minorHAnsi"/>
          <w:sz w:val="18"/>
          <w:szCs w:val="18"/>
        </w:rPr>
      </w:pPr>
    </w:p>
    <w:p w14:paraId="48C67A47">
      <w:pPr>
        <w:ind w:left="-284" w:firstLine="284"/>
        <w:jc w:val="both"/>
        <w:rPr>
          <w:rFonts w:ascii="Arial" w:hAnsi="Arial" w:cs="Arial" w:eastAsiaTheme="minorHAnsi"/>
          <w:sz w:val="18"/>
          <w:szCs w:val="18"/>
        </w:rPr>
      </w:pPr>
    </w:p>
    <w:p w14:paraId="444D27C7">
      <w:pPr>
        <w:ind w:left="-284" w:firstLine="284"/>
        <w:jc w:val="both"/>
        <w:rPr>
          <w:rFonts w:ascii="Arial" w:hAnsi="Arial" w:cs="Arial" w:eastAsiaTheme="minorHAnsi"/>
          <w:sz w:val="18"/>
          <w:szCs w:val="18"/>
        </w:rPr>
      </w:pPr>
    </w:p>
    <w:p w14:paraId="1DF830A0">
      <w:pPr>
        <w:ind w:left="-284" w:firstLine="284"/>
        <w:jc w:val="both"/>
        <w:rPr>
          <w:rFonts w:ascii="Arial" w:hAnsi="Arial" w:cs="Arial" w:eastAsiaTheme="minorHAnsi"/>
          <w:sz w:val="18"/>
          <w:szCs w:val="18"/>
        </w:rPr>
      </w:pPr>
    </w:p>
    <w:p w14:paraId="7FDD9EDF">
      <w:pPr>
        <w:jc w:val="both"/>
        <w:rPr>
          <w:rFonts w:ascii="Arial" w:hAnsi="Arial" w:cs="Arial"/>
          <w:b/>
          <w:bCs/>
          <w:sz w:val="26"/>
          <w:szCs w:val="26"/>
        </w:rPr>
      </w:pPr>
    </w:p>
    <w:p w14:paraId="262AA912">
      <w:pPr>
        <w:jc w:val="center"/>
        <w:rPr>
          <w:rFonts w:ascii="Arial" w:hAnsi="Arial" w:cs="Arial"/>
          <w:b/>
          <w:bCs/>
          <w:sz w:val="26"/>
          <w:szCs w:val="26"/>
        </w:rPr>
      </w:pPr>
    </w:p>
    <w:p w14:paraId="0213ECEB">
      <w:pPr>
        <w:jc w:val="center"/>
        <w:rPr>
          <w:rFonts w:ascii="Arial" w:hAnsi="Arial" w:cs="Arial"/>
          <w:b/>
          <w:bCs/>
          <w:sz w:val="26"/>
          <w:szCs w:val="26"/>
        </w:rPr>
      </w:pPr>
      <w:r>
        <w:rPr>
          <w:rFonts w:ascii="Arial" w:hAnsi="Arial" w:cs="Arial"/>
          <w:b/>
          <w:bCs/>
          <w:sz w:val="26"/>
          <w:szCs w:val="26"/>
        </w:rPr>
        <w:t>ANEXO IV</w:t>
      </w:r>
    </w:p>
    <w:p w14:paraId="64267351">
      <w:pPr>
        <w:jc w:val="center"/>
        <w:rPr>
          <w:rFonts w:ascii="Arial" w:hAnsi="Arial" w:cs="Arial"/>
          <w:b/>
          <w:bCs/>
        </w:rPr>
      </w:pPr>
    </w:p>
    <w:p w14:paraId="412B6346">
      <w:pPr>
        <w:jc w:val="center"/>
        <w:rPr>
          <w:rFonts w:hint="default" w:ascii="Arial" w:hAnsi="Arial" w:cs="Arial"/>
          <w:b/>
          <w:bCs/>
          <w:lang w:val="pt-BR"/>
        </w:rPr>
      </w:pPr>
      <w:r>
        <w:rPr>
          <w:rFonts w:ascii="Arial" w:hAnsi="Arial" w:cs="Arial"/>
          <w:b/>
          <w:bCs/>
        </w:rPr>
        <w:t xml:space="preserve">Processo Licitatório n° </w:t>
      </w:r>
      <w:r>
        <w:rPr>
          <w:rFonts w:hint="default" w:ascii="Arial" w:hAnsi="Arial" w:cs="Arial"/>
          <w:b/>
          <w:bCs/>
          <w:lang w:val="pt-BR"/>
        </w:rPr>
        <w:t>065/2025</w:t>
      </w:r>
    </w:p>
    <w:p w14:paraId="16DE1740">
      <w:pPr>
        <w:jc w:val="center"/>
        <w:rPr>
          <w:rFonts w:hint="default" w:ascii="Arial" w:hAnsi="Arial" w:cs="Arial"/>
          <w:b/>
          <w:bCs/>
          <w:lang w:val="pt-BR"/>
        </w:rPr>
      </w:pPr>
      <w:r>
        <w:rPr>
          <w:rFonts w:ascii="Arial" w:hAnsi="Arial" w:cs="Arial"/>
          <w:b/>
          <w:bCs/>
        </w:rPr>
        <w:t xml:space="preserve">Pregão Eletrônico n° </w:t>
      </w:r>
      <w:r>
        <w:rPr>
          <w:rFonts w:hint="default" w:ascii="Arial" w:hAnsi="Arial" w:cs="Arial"/>
          <w:b/>
          <w:bCs/>
          <w:lang w:val="pt-BR"/>
        </w:rPr>
        <w:t>036/2025</w:t>
      </w:r>
    </w:p>
    <w:p w14:paraId="6B34000D">
      <w:pPr>
        <w:jc w:val="center"/>
        <w:rPr>
          <w:rFonts w:hint="default" w:ascii="Arial" w:hAnsi="Arial" w:cs="Arial"/>
          <w:b/>
          <w:bCs/>
          <w:lang w:val="pt-BR"/>
        </w:rPr>
      </w:pPr>
      <w:r>
        <w:rPr>
          <w:rFonts w:ascii="Arial" w:hAnsi="Arial" w:cs="Arial"/>
          <w:b/>
          <w:bCs/>
        </w:rPr>
        <w:t xml:space="preserve">Registro de Preços n° </w:t>
      </w:r>
      <w:r>
        <w:rPr>
          <w:rFonts w:hint="default" w:ascii="Arial" w:hAnsi="Arial" w:cs="Arial"/>
          <w:b/>
          <w:bCs/>
          <w:lang w:val="pt-BR"/>
        </w:rPr>
        <w:t>034/2025</w:t>
      </w:r>
    </w:p>
    <w:p w14:paraId="399D3D38">
      <w:pPr>
        <w:spacing w:line="200" w:lineRule="atLeast"/>
        <w:jc w:val="center"/>
        <w:rPr>
          <w:rFonts w:ascii="Garamond" w:hAnsi="Garamond"/>
          <w:b/>
          <w:lang w:eastAsia="ar-SA"/>
        </w:rPr>
      </w:pPr>
    </w:p>
    <w:p w14:paraId="6C8432DB">
      <w:pPr>
        <w:spacing w:line="200" w:lineRule="atLeast"/>
        <w:jc w:val="center"/>
        <w:rPr>
          <w:rFonts w:ascii="Garamond" w:hAnsi="Garamond"/>
          <w:b/>
          <w:lang w:eastAsia="ar-SA"/>
        </w:rPr>
      </w:pPr>
    </w:p>
    <w:p w14:paraId="374D5403">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65B6D81C">
      <w:pPr>
        <w:autoSpaceDE w:val="0"/>
        <w:spacing w:line="200" w:lineRule="atLeast"/>
        <w:jc w:val="center"/>
        <w:rPr>
          <w:rFonts w:ascii="Arial" w:hAnsi="Arial" w:cs="Arial"/>
          <w:b/>
          <w:bCs/>
          <w:sz w:val="20"/>
          <w:szCs w:val="20"/>
          <w:lang w:eastAsia="ar-SA"/>
        </w:rPr>
      </w:pPr>
    </w:p>
    <w:p w14:paraId="1F47304C">
      <w:pPr>
        <w:autoSpaceDE w:val="0"/>
        <w:spacing w:line="200" w:lineRule="atLeast"/>
        <w:rPr>
          <w:rFonts w:ascii="Arial" w:hAnsi="Arial" w:cs="Arial"/>
          <w:b/>
          <w:bCs/>
          <w:sz w:val="20"/>
          <w:szCs w:val="20"/>
          <w:lang w:eastAsia="ar-SA"/>
        </w:rPr>
      </w:pPr>
    </w:p>
    <w:p w14:paraId="72EE1AD0">
      <w:pPr>
        <w:autoSpaceDE w:val="0"/>
        <w:spacing w:line="200" w:lineRule="atLeast"/>
        <w:rPr>
          <w:rFonts w:ascii="Arial" w:hAnsi="Arial" w:cs="Arial"/>
          <w:b/>
          <w:bCs/>
          <w:sz w:val="20"/>
          <w:szCs w:val="20"/>
          <w:lang w:eastAsia="ar-SA"/>
        </w:rPr>
      </w:pPr>
    </w:p>
    <w:p w14:paraId="7247CFFF">
      <w:pPr>
        <w:autoSpaceDE w:val="0"/>
        <w:spacing w:line="200" w:lineRule="atLeast"/>
        <w:rPr>
          <w:rFonts w:ascii="Arial" w:hAnsi="Arial" w:cs="Arial"/>
          <w:b/>
          <w:bCs/>
          <w:sz w:val="20"/>
          <w:szCs w:val="20"/>
          <w:lang w:eastAsia="ar-SA"/>
        </w:rPr>
      </w:pPr>
    </w:p>
    <w:p w14:paraId="0B1DB2AA">
      <w:pPr>
        <w:pStyle w:val="14"/>
        <w:ind w:firstLine="1134"/>
        <w:rPr>
          <w:rFonts w:ascii="Arial" w:hAnsi="Arial" w:cs="Arial"/>
          <w:sz w:val="20"/>
          <w:szCs w:val="20"/>
        </w:rPr>
      </w:pPr>
      <w:r>
        <w:rPr>
          <w:rFonts w:ascii="Arial" w:hAnsi="Arial" w:cs="Arial"/>
          <w:sz w:val="20"/>
          <w:szCs w:val="20"/>
        </w:rPr>
        <w:t>A Empresa _________________________________ inscrita no CNPJ sob o nº_________________________________, sediada (endereço completo), _______________________________________por seu representante abaixo assinado.</w:t>
      </w:r>
    </w:p>
    <w:p w14:paraId="68B14E48">
      <w:pPr>
        <w:autoSpaceDE w:val="0"/>
        <w:spacing w:line="200" w:lineRule="atLeast"/>
        <w:rPr>
          <w:rFonts w:ascii="Arial" w:hAnsi="Arial" w:cs="Arial"/>
          <w:b/>
          <w:bCs/>
          <w:sz w:val="20"/>
          <w:szCs w:val="20"/>
          <w:lang w:eastAsia="ar-SA"/>
        </w:rPr>
      </w:pPr>
    </w:p>
    <w:p w14:paraId="1DBEBDE7">
      <w:pPr>
        <w:autoSpaceDE w:val="0"/>
        <w:spacing w:line="200" w:lineRule="atLeast"/>
        <w:rPr>
          <w:rFonts w:ascii="Arial" w:hAnsi="Arial" w:cs="Arial"/>
          <w:sz w:val="20"/>
          <w:szCs w:val="20"/>
          <w:lang w:eastAsia="ar-SA"/>
        </w:rPr>
      </w:pPr>
      <w:r>
        <w:rPr>
          <w:rFonts w:ascii="Arial" w:hAnsi="Arial" w:cs="Arial"/>
          <w:sz w:val="20"/>
          <w:szCs w:val="20"/>
          <w:lang w:eastAsia="ar-SA"/>
        </w:rPr>
        <w:t xml:space="preserve">                                   </w:t>
      </w:r>
    </w:p>
    <w:p w14:paraId="65377F50">
      <w:pPr>
        <w:autoSpaceDE w:val="0"/>
        <w:spacing w:line="200" w:lineRule="atLeast"/>
        <w:jc w:val="both"/>
        <w:rPr>
          <w:rFonts w:hint="default" w:ascii="Arial" w:hAnsi="Arial" w:cs="Arial"/>
          <w:sz w:val="18"/>
          <w:szCs w:val="18"/>
          <w:lang w:eastAsia="ar-SA"/>
        </w:rPr>
      </w:pPr>
      <w:r>
        <w:rPr>
          <w:rFonts w:ascii="Arial" w:hAnsi="Arial" w:cs="Arial"/>
          <w:sz w:val="20"/>
          <w:szCs w:val="20"/>
          <w:lang w:eastAsia="ar-SA"/>
        </w:rPr>
        <w:t xml:space="preserve">                                 </w:t>
      </w:r>
      <w:r>
        <w:rPr>
          <w:rFonts w:hint="default" w:ascii="Arial" w:hAnsi="Arial" w:cs="Arial"/>
          <w:sz w:val="18"/>
          <w:szCs w:val="18"/>
          <w:lang w:eastAsia="ar-SA"/>
        </w:rPr>
        <w:t xml:space="preserve">   DECLARA, sob as penas da Lei, para todos os efeitos legais que atende plenamente os requisitos de habilitação exigidos no processo licitatório, sob pena das sanções cabíveis; (inciso I do art. 63 da Lei 14.133/21).</w:t>
      </w:r>
    </w:p>
    <w:p w14:paraId="23474198">
      <w:pPr>
        <w:autoSpaceDE w:val="0"/>
        <w:spacing w:line="200" w:lineRule="atLeast"/>
        <w:ind w:left="0" w:leftChars="0" w:firstLine="1728" w:firstLineChars="960"/>
        <w:jc w:val="both"/>
        <w:rPr>
          <w:rFonts w:hint="default" w:ascii="Arial" w:hAnsi="Arial" w:cs="Arial"/>
          <w:sz w:val="18"/>
          <w:szCs w:val="18"/>
          <w:lang w:eastAsia="ar-SA"/>
        </w:rPr>
      </w:pPr>
      <w:r>
        <w:rPr>
          <w:rFonts w:hint="default" w:ascii="Arial" w:hAnsi="Arial" w:cs="Arial"/>
          <w:sz w:val="18"/>
          <w:szCs w:val="18"/>
          <w:lang w:val="pt-BR" w:eastAsia="ar-SA"/>
        </w:rPr>
        <w:t>D</w:t>
      </w:r>
      <w:r>
        <w:rPr>
          <w:rFonts w:hint="default" w:ascii="Arial" w:hAnsi="Arial" w:eastAsia="Calibri" w:cs="Arial"/>
          <w:sz w:val="18"/>
          <w:szCs w:val="18"/>
        </w:rPr>
        <w:t>eclara, sob as penas da lei se comprometer com o correto</w:t>
      </w:r>
      <w:r>
        <w:rPr>
          <w:rFonts w:hint="default" w:ascii="Arial" w:hAnsi="Arial" w:eastAsia="Calibri" w:cs="Arial"/>
          <w:sz w:val="18"/>
          <w:szCs w:val="18"/>
          <w:lang w:val="pt-BR"/>
        </w:rPr>
        <w:t xml:space="preserve"> </w:t>
      </w:r>
      <w:r>
        <w:rPr>
          <w:rFonts w:hint="default" w:ascii="Arial" w:hAnsi="Arial" w:eastAsia="Calibri" w:cs="Arial"/>
          <w:sz w:val="18"/>
          <w:szCs w:val="18"/>
        </w:rPr>
        <w:t>tratamento dos</w:t>
      </w:r>
      <w:r>
        <w:rPr>
          <w:rFonts w:hint="default" w:ascii="Arial" w:hAnsi="Arial" w:eastAsia="Calibri" w:cs="Arial"/>
          <w:sz w:val="18"/>
          <w:szCs w:val="18"/>
          <w:lang w:val="pt-BR"/>
        </w:rPr>
        <w:t xml:space="preserve"> </w:t>
      </w:r>
      <w:r>
        <w:rPr>
          <w:rFonts w:hint="default" w:ascii="Arial" w:hAnsi="Arial" w:eastAsia="Calibri" w:cs="Arial"/>
          <w:sz w:val="18"/>
          <w:szCs w:val="18"/>
        </w:rPr>
        <w:t>dados pessoais que por ventura venha a ter acesso por parte da licitante, com</w:t>
      </w:r>
      <w:r>
        <w:rPr>
          <w:rFonts w:hint="default" w:ascii="Arial" w:hAnsi="Arial" w:eastAsia="Calibri" w:cs="Arial"/>
          <w:sz w:val="18"/>
          <w:szCs w:val="18"/>
          <w:lang w:val="pt-BR"/>
        </w:rPr>
        <w:t xml:space="preserve"> </w:t>
      </w:r>
      <w:r>
        <w:rPr>
          <w:rFonts w:hint="default" w:ascii="Arial" w:hAnsi="Arial" w:eastAsia="Calibri" w:cs="Arial"/>
          <w:sz w:val="18"/>
          <w:szCs w:val="18"/>
        </w:rPr>
        <w:t>os dados e documentos disponibilizados e recebidos por meio deste edital para a realização do</w:t>
      </w:r>
      <w:r>
        <w:rPr>
          <w:rFonts w:hint="default" w:ascii="Arial" w:hAnsi="Arial" w:eastAsia="Calibri" w:cs="Arial"/>
          <w:sz w:val="18"/>
          <w:szCs w:val="18"/>
          <w:lang w:val="pt-BR"/>
        </w:rPr>
        <w:t xml:space="preserve"> </w:t>
      </w:r>
      <w:r>
        <w:rPr>
          <w:rFonts w:hint="default" w:ascii="Arial" w:hAnsi="Arial" w:eastAsia="Calibri" w:cs="Arial"/>
          <w:sz w:val="18"/>
          <w:szCs w:val="18"/>
        </w:rPr>
        <w:t>presente processo licitatório e informa que todos eles serão devidamente tratados sob a égide</w:t>
      </w:r>
      <w:r>
        <w:rPr>
          <w:rFonts w:hint="default" w:ascii="Arial" w:hAnsi="Arial" w:eastAsia="Calibri" w:cs="Arial"/>
          <w:sz w:val="18"/>
          <w:szCs w:val="18"/>
          <w:lang w:val="pt-BR"/>
        </w:rPr>
        <w:t xml:space="preserve"> </w:t>
      </w:r>
      <w:r>
        <w:rPr>
          <w:rFonts w:hint="default" w:ascii="Arial" w:hAnsi="Arial" w:eastAsia="Calibri" w:cs="Arial"/>
          <w:sz w:val="18"/>
          <w:szCs w:val="18"/>
        </w:rPr>
        <w:t>da Lei nº 13.709/18 – Lei Geral de Proteção de Dados (LGPD).</w:t>
      </w:r>
    </w:p>
    <w:p w14:paraId="3746B428">
      <w:pPr>
        <w:autoSpaceDE w:val="0"/>
        <w:spacing w:line="200" w:lineRule="atLeast"/>
        <w:jc w:val="both"/>
        <w:rPr>
          <w:rFonts w:ascii="Arial" w:hAnsi="Arial" w:cs="Arial"/>
          <w:sz w:val="20"/>
          <w:szCs w:val="20"/>
          <w:lang w:eastAsia="ar-SA"/>
        </w:rPr>
      </w:pPr>
    </w:p>
    <w:p w14:paraId="6A35AE53">
      <w:pPr>
        <w:autoSpaceDE w:val="0"/>
        <w:spacing w:line="200" w:lineRule="atLeast"/>
        <w:rPr>
          <w:rFonts w:ascii="Arial" w:hAnsi="Arial" w:cs="Arial"/>
          <w:sz w:val="20"/>
          <w:szCs w:val="20"/>
          <w:lang w:eastAsia="ar-SA"/>
        </w:rPr>
      </w:pPr>
    </w:p>
    <w:p w14:paraId="4C408796">
      <w:pPr>
        <w:autoSpaceDE w:val="0"/>
        <w:spacing w:line="200" w:lineRule="atLeast"/>
        <w:rPr>
          <w:rFonts w:ascii="Arial" w:hAnsi="Arial" w:cs="Arial"/>
          <w:i/>
          <w:iCs/>
          <w:sz w:val="20"/>
          <w:szCs w:val="20"/>
          <w:lang w:eastAsia="ar-SA"/>
        </w:rPr>
      </w:pPr>
    </w:p>
    <w:p w14:paraId="76A2209D">
      <w:pPr>
        <w:pStyle w:val="328"/>
        <w:spacing w:before="0" w:after="0"/>
        <w:jc w:val="both"/>
        <w:rPr>
          <w:rFonts w:ascii="Arial" w:hAnsi="Arial" w:cs="Arial"/>
          <w:sz w:val="20"/>
          <w:szCs w:val="20"/>
        </w:rPr>
      </w:pPr>
      <w:r>
        <w:rPr>
          <w:rFonts w:ascii="Arial" w:hAnsi="Arial" w:cs="Arial"/>
          <w:sz w:val="20"/>
          <w:szCs w:val="20"/>
        </w:rPr>
        <w:t xml:space="preserve">Cataguases/MG, ________ de ________________ de </w:t>
      </w:r>
      <w:r>
        <w:rPr>
          <w:rFonts w:ascii="Arial" w:hAnsi="Arial" w:cs="Arial"/>
          <w:sz w:val="20"/>
          <w:szCs w:val="20"/>
          <w:lang w:val="pt-BR"/>
        </w:rPr>
        <w:t>2025</w:t>
      </w:r>
      <w:r>
        <w:rPr>
          <w:rFonts w:ascii="Arial" w:hAnsi="Arial" w:cs="Arial"/>
          <w:sz w:val="20"/>
          <w:szCs w:val="20"/>
        </w:rPr>
        <w:t>.</w:t>
      </w:r>
    </w:p>
    <w:p w14:paraId="00A8D8F2">
      <w:pPr>
        <w:pStyle w:val="328"/>
        <w:spacing w:before="0" w:after="0"/>
        <w:jc w:val="center"/>
        <w:rPr>
          <w:rFonts w:ascii="Arial" w:hAnsi="Arial" w:cs="Arial"/>
          <w:sz w:val="20"/>
          <w:szCs w:val="20"/>
        </w:rPr>
      </w:pPr>
    </w:p>
    <w:p w14:paraId="62976C5F">
      <w:pPr>
        <w:pStyle w:val="328"/>
        <w:spacing w:before="0" w:after="0"/>
        <w:jc w:val="both"/>
        <w:rPr>
          <w:rFonts w:ascii="Arial" w:hAnsi="Arial" w:cs="Arial"/>
          <w:sz w:val="20"/>
          <w:szCs w:val="20"/>
        </w:rPr>
      </w:pPr>
    </w:p>
    <w:p w14:paraId="613FC995">
      <w:pPr>
        <w:pStyle w:val="328"/>
        <w:spacing w:before="0" w:after="0"/>
        <w:jc w:val="center"/>
        <w:rPr>
          <w:rFonts w:ascii="Arial" w:hAnsi="Arial" w:cs="Arial"/>
          <w:sz w:val="20"/>
          <w:szCs w:val="20"/>
        </w:rPr>
      </w:pPr>
    </w:p>
    <w:p w14:paraId="09537DB9">
      <w:pPr>
        <w:pStyle w:val="328"/>
        <w:spacing w:before="0" w:after="0"/>
        <w:jc w:val="center"/>
        <w:rPr>
          <w:rFonts w:ascii="Arial" w:hAnsi="Arial" w:cs="Arial"/>
          <w:sz w:val="20"/>
          <w:szCs w:val="20"/>
        </w:rPr>
      </w:pPr>
      <w:r>
        <w:rPr>
          <w:rFonts w:ascii="Arial" w:hAnsi="Arial" w:cs="Arial"/>
          <w:sz w:val="20"/>
          <w:szCs w:val="20"/>
        </w:rPr>
        <w:t>____________________________________</w:t>
      </w:r>
    </w:p>
    <w:p w14:paraId="1002968A">
      <w:pPr>
        <w:pStyle w:val="328"/>
        <w:spacing w:before="0" w:after="0"/>
        <w:jc w:val="center"/>
        <w:rPr>
          <w:rFonts w:ascii="Arial" w:hAnsi="Arial" w:cs="Arial"/>
          <w:sz w:val="20"/>
          <w:szCs w:val="20"/>
        </w:rPr>
      </w:pPr>
      <w:r>
        <w:rPr>
          <w:rFonts w:ascii="Arial" w:hAnsi="Arial" w:cs="Arial"/>
          <w:sz w:val="20"/>
          <w:szCs w:val="20"/>
        </w:rPr>
        <w:t>Ass. Responsável</w:t>
      </w:r>
    </w:p>
    <w:p w14:paraId="6F87C1E2">
      <w:pPr>
        <w:autoSpaceDE w:val="0"/>
        <w:spacing w:line="200" w:lineRule="atLeast"/>
        <w:rPr>
          <w:rFonts w:ascii="Arial" w:hAnsi="Arial" w:cs="Arial"/>
          <w:sz w:val="20"/>
          <w:szCs w:val="20"/>
          <w:lang w:eastAsia="ar-SA"/>
        </w:rPr>
      </w:pPr>
    </w:p>
    <w:p w14:paraId="5DF5EC03">
      <w:pPr>
        <w:pStyle w:val="328"/>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6507F68C">
      <w:pPr>
        <w:autoSpaceDE w:val="0"/>
        <w:autoSpaceDN w:val="0"/>
        <w:adjustRightInd w:val="0"/>
        <w:rPr>
          <w:rFonts w:ascii="Arial" w:hAnsi="Arial" w:eastAsia="Calibri" w:cs="Arial"/>
          <w:color w:val="000000"/>
          <w:sz w:val="20"/>
          <w:szCs w:val="20"/>
          <w:lang w:eastAsia="en-US"/>
        </w:rPr>
      </w:pPr>
    </w:p>
    <w:p w14:paraId="0088C086">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15A16CDA">
      <w:pPr>
        <w:ind w:firstLine="567"/>
        <w:jc w:val="center"/>
        <w:rPr>
          <w:rFonts w:ascii="Arial" w:hAnsi="Arial" w:cs="Arial"/>
          <w:b/>
          <w:bCs/>
          <w:sz w:val="20"/>
          <w:szCs w:val="20"/>
        </w:rPr>
      </w:pPr>
    </w:p>
    <w:p w14:paraId="3E0F3882">
      <w:pPr>
        <w:ind w:firstLine="567"/>
        <w:jc w:val="center"/>
        <w:rPr>
          <w:rFonts w:ascii="Arial" w:hAnsi="Arial" w:cs="Arial"/>
          <w:b/>
          <w:bCs/>
          <w:sz w:val="20"/>
          <w:szCs w:val="20"/>
        </w:rPr>
      </w:pPr>
    </w:p>
    <w:p w14:paraId="00ED352F">
      <w:pPr>
        <w:ind w:firstLine="567"/>
        <w:jc w:val="center"/>
        <w:rPr>
          <w:rFonts w:ascii="Arial" w:hAnsi="Arial" w:cs="Arial"/>
          <w:b/>
          <w:bCs/>
          <w:sz w:val="20"/>
          <w:szCs w:val="20"/>
        </w:rPr>
      </w:pPr>
    </w:p>
    <w:p w14:paraId="0574F23D">
      <w:pPr>
        <w:ind w:firstLine="567"/>
        <w:jc w:val="center"/>
        <w:rPr>
          <w:rFonts w:ascii="Arial" w:hAnsi="Arial" w:cs="Arial"/>
          <w:b/>
          <w:bCs/>
          <w:sz w:val="20"/>
          <w:szCs w:val="20"/>
        </w:rPr>
      </w:pPr>
    </w:p>
    <w:p w14:paraId="1973A960">
      <w:pPr>
        <w:ind w:firstLine="567"/>
        <w:jc w:val="center"/>
        <w:rPr>
          <w:rFonts w:ascii="Arial" w:hAnsi="Arial" w:cs="Arial"/>
          <w:b/>
          <w:bCs/>
          <w:sz w:val="20"/>
          <w:szCs w:val="20"/>
        </w:rPr>
      </w:pPr>
    </w:p>
    <w:p w14:paraId="7D7A5290">
      <w:pPr>
        <w:ind w:firstLine="567"/>
        <w:jc w:val="center"/>
        <w:rPr>
          <w:rFonts w:ascii="Arial" w:hAnsi="Arial" w:cs="Arial"/>
          <w:b/>
          <w:bCs/>
          <w:sz w:val="20"/>
          <w:szCs w:val="20"/>
        </w:rPr>
      </w:pPr>
    </w:p>
    <w:p w14:paraId="390EE047">
      <w:pPr>
        <w:ind w:firstLine="567"/>
        <w:jc w:val="center"/>
        <w:rPr>
          <w:rFonts w:ascii="Arial" w:hAnsi="Arial" w:cs="Arial"/>
          <w:b/>
          <w:bCs/>
          <w:sz w:val="20"/>
          <w:szCs w:val="20"/>
        </w:rPr>
      </w:pPr>
    </w:p>
    <w:p w14:paraId="159F6AF5">
      <w:pPr>
        <w:ind w:firstLine="567"/>
        <w:jc w:val="center"/>
        <w:rPr>
          <w:rFonts w:ascii="Arial" w:hAnsi="Arial" w:cs="Arial"/>
          <w:b/>
          <w:bCs/>
          <w:sz w:val="20"/>
          <w:szCs w:val="20"/>
        </w:rPr>
      </w:pPr>
    </w:p>
    <w:p w14:paraId="1975DE05">
      <w:pPr>
        <w:ind w:firstLine="567"/>
        <w:jc w:val="center"/>
        <w:rPr>
          <w:rFonts w:ascii="Arial" w:hAnsi="Arial" w:cs="Arial"/>
          <w:b/>
          <w:bCs/>
          <w:sz w:val="20"/>
          <w:szCs w:val="20"/>
        </w:rPr>
      </w:pPr>
    </w:p>
    <w:p w14:paraId="77455372">
      <w:pPr>
        <w:ind w:firstLine="567"/>
        <w:jc w:val="center"/>
        <w:rPr>
          <w:rFonts w:ascii="Arial" w:hAnsi="Arial" w:cs="Arial"/>
          <w:b/>
          <w:bCs/>
          <w:sz w:val="20"/>
          <w:szCs w:val="20"/>
        </w:rPr>
      </w:pPr>
    </w:p>
    <w:p w14:paraId="3E9C6FD7">
      <w:pPr>
        <w:ind w:firstLine="567"/>
        <w:jc w:val="center"/>
        <w:rPr>
          <w:rFonts w:ascii="Arial" w:hAnsi="Arial" w:cs="Arial"/>
          <w:b/>
          <w:bCs/>
          <w:sz w:val="20"/>
          <w:szCs w:val="20"/>
        </w:rPr>
      </w:pPr>
    </w:p>
    <w:p w14:paraId="16A56993">
      <w:pPr>
        <w:ind w:firstLine="567"/>
        <w:jc w:val="center"/>
        <w:rPr>
          <w:rFonts w:ascii="Arial" w:hAnsi="Arial" w:cs="Arial"/>
          <w:b/>
          <w:bCs/>
          <w:sz w:val="20"/>
          <w:szCs w:val="20"/>
        </w:rPr>
      </w:pPr>
    </w:p>
    <w:p w14:paraId="21BD1993">
      <w:pPr>
        <w:ind w:firstLine="567"/>
        <w:jc w:val="center"/>
        <w:rPr>
          <w:rFonts w:ascii="Arial" w:hAnsi="Arial" w:cs="Arial"/>
          <w:b/>
          <w:bCs/>
          <w:sz w:val="20"/>
          <w:szCs w:val="20"/>
        </w:rPr>
      </w:pPr>
    </w:p>
    <w:p w14:paraId="15F2CFE5">
      <w:pPr>
        <w:ind w:firstLine="567"/>
        <w:jc w:val="center"/>
        <w:rPr>
          <w:rFonts w:ascii="Arial" w:hAnsi="Arial" w:cs="Arial"/>
          <w:b/>
          <w:bCs/>
          <w:sz w:val="20"/>
          <w:szCs w:val="20"/>
        </w:rPr>
      </w:pPr>
    </w:p>
    <w:p w14:paraId="4AB05BDC">
      <w:pPr>
        <w:ind w:firstLine="567"/>
        <w:jc w:val="center"/>
        <w:rPr>
          <w:rFonts w:ascii="Arial" w:hAnsi="Arial" w:cs="Arial"/>
          <w:b/>
          <w:bCs/>
          <w:sz w:val="20"/>
          <w:szCs w:val="20"/>
        </w:rPr>
      </w:pPr>
    </w:p>
    <w:p w14:paraId="1B3956E8">
      <w:pPr>
        <w:ind w:firstLine="567"/>
        <w:jc w:val="center"/>
        <w:rPr>
          <w:rFonts w:ascii="Arial" w:hAnsi="Arial" w:cs="Arial"/>
          <w:b/>
          <w:bCs/>
          <w:sz w:val="20"/>
          <w:szCs w:val="20"/>
        </w:rPr>
      </w:pPr>
    </w:p>
    <w:p w14:paraId="70B4A155">
      <w:pPr>
        <w:ind w:firstLine="567"/>
        <w:jc w:val="center"/>
        <w:rPr>
          <w:rFonts w:ascii="Arial" w:hAnsi="Arial" w:cs="Arial"/>
          <w:b/>
          <w:bCs/>
          <w:sz w:val="20"/>
          <w:szCs w:val="20"/>
        </w:rPr>
      </w:pPr>
    </w:p>
    <w:p w14:paraId="16234F8F">
      <w:pPr>
        <w:ind w:firstLine="567"/>
        <w:jc w:val="center"/>
        <w:rPr>
          <w:rFonts w:ascii="Arial" w:hAnsi="Arial" w:cs="Arial"/>
          <w:b/>
          <w:bCs/>
          <w:sz w:val="20"/>
          <w:szCs w:val="20"/>
        </w:rPr>
      </w:pPr>
    </w:p>
    <w:p w14:paraId="79C4FAC5">
      <w:pPr>
        <w:ind w:firstLine="567"/>
        <w:jc w:val="center"/>
        <w:rPr>
          <w:rFonts w:ascii="Arial" w:hAnsi="Arial" w:cs="Arial"/>
          <w:b/>
          <w:bCs/>
          <w:sz w:val="20"/>
          <w:szCs w:val="20"/>
        </w:rPr>
      </w:pPr>
    </w:p>
    <w:p w14:paraId="5D98C417">
      <w:pPr>
        <w:ind w:firstLine="567"/>
        <w:jc w:val="center"/>
        <w:rPr>
          <w:rFonts w:ascii="Arial" w:hAnsi="Arial" w:cs="Arial"/>
          <w:b/>
          <w:bCs/>
          <w:sz w:val="20"/>
          <w:szCs w:val="20"/>
        </w:rPr>
      </w:pPr>
    </w:p>
    <w:p w14:paraId="6F6EA12B">
      <w:pPr>
        <w:ind w:firstLine="567"/>
        <w:jc w:val="center"/>
        <w:rPr>
          <w:rFonts w:ascii="Arial" w:hAnsi="Arial" w:cs="Arial"/>
          <w:b/>
          <w:bCs/>
          <w:sz w:val="20"/>
          <w:szCs w:val="20"/>
        </w:rPr>
      </w:pPr>
    </w:p>
    <w:p w14:paraId="678DC909">
      <w:pPr>
        <w:ind w:firstLine="567"/>
        <w:jc w:val="center"/>
        <w:rPr>
          <w:rFonts w:ascii="Arial" w:hAnsi="Arial" w:cs="Arial"/>
          <w:b/>
          <w:bCs/>
          <w:sz w:val="20"/>
          <w:szCs w:val="20"/>
        </w:rPr>
      </w:pPr>
    </w:p>
    <w:p w14:paraId="0CC582BA">
      <w:pPr>
        <w:jc w:val="both"/>
        <w:rPr>
          <w:rFonts w:ascii="Arial" w:hAnsi="Arial" w:cs="Arial"/>
          <w:b/>
          <w:bCs/>
          <w:sz w:val="20"/>
          <w:szCs w:val="20"/>
        </w:rPr>
      </w:pPr>
    </w:p>
    <w:p w14:paraId="05681D97">
      <w:pPr>
        <w:ind w:firstLine="567"/>
        <w:jc w:val="center"/>
        <w:rPr>
          <w:rFonts w:ascii="Arial" w:hAnsi="Arial" w:cs="Arial"/>
          <w:b/>
          <w:bCs/>
          <w:sz w:val="20"/>
          <w:szCs w:val="20"/>
        </w:rPr>
      </w:pPr>
    </w:p>
    <w:p w14:paraId="7AD780BE">
      <w:pPr>
        <w:jc w:val="center"/>
        <w:rPr>
          <w:rFonts w:ascii="Arial" w:hAnsi="Arial" w:cs="Arial"/>
          <w:b/>
          <w:bCs/>
          <w:sz w:val="26"/>
          <w:szCs w:val="26"/>
        </w:rPr>
      </w:pPr>
    </w:p>
    <w:p w14:paraId="012AAEF7">
      <w:pPr>
        <w:jc w:val="center"/>
        <w:rPr>
          <w:rFonts w:ascii="Arial" w:hAnsi="Arial" w:cs="Arial"/>
          <w:b/>
          <w:bCs/>
          <w:sz w:val="26"/>
          <w:szCs w:val="26"/>
        </w:rPr>
      </w:pPr>
      <w:r>
        <w:rPr>
          <w:rFonts w:ascii="Arial" w:hAnsi="Arial" w:cs="Arial"/>
          <w:b/>
          <w:bCs/>
          <w:sz w:val="26"/>
          <w:szCs w:val="26"/>
        </w:rPr>
        <w:t>ANEXO V</w:t>
      </w:r>
    </w:p>
    <w:p w14:paraId="0700A2BC">
      <w:pPr>
        <w:jc w:val="center"/>
        <w:rPr>
          <w:rFonts w:ascii="Arial" w:hAnsi="Arial" w:cs="Arial"/>
          <w:b/>
          <w:bCs/>
        </w:rPr>
      </w:pPr>
    </w:p>
    <w:p w14:paraId="40877FC8">
      <w:pPr>
        <w:jc w:val="center"/>
        <w:rPr>
          <w:rFonts w:hint="default" w:ascii="Arial" w:hAnsi="Arial" w:cs="Arial"/>
          <w:b/>
          <w:bCs/>
          <w:lang w:val="pt-BR"/>
        </w:rPr>
      </w:pPr>
      <w:r>
        <w:rPr>
          <w:rFonts w:ascii="Arial" w:hAnsi="Arial" w:cs="Arial"/>
          <w:b/>
          <w:bCs/>
        </w:rPr>
        <w:t xml:space="preserve">Processo Licitatório n° </w:t>
      </w:r>
      <w:r>
        <w:rPr>
          <w:rFonts w:hint="default" w:ascii="Arial" w:hAnsi="Arial" w:cs="Arial"/>
          <w:b/>
          <w:bCs/>
          <w:lang w:val="pt-BR"/>
        </w:rPr>
        <w:t>065/2025</w:t>
      </w:r>
    </w:p>
    <w:p w14:paraId="75304C36">
      <w:pPr>
        <w:jc w:val="center"/>
        <w:rPr>
          <w:rFonts w:hint="default" w:ascii="Arial" w:hAnsi="Arial" w:cs="Arial"/>
          <w:b/>
          <w:bCs/>
          <w:lang w:val="pt-BR"/>
        </w:rPr>
      </w:pPr>
      <w:r>
        <w:rPr>
          <w:rFonts w:ascii="Arial" w:hAnsi="Arial" w:cs="Arial"/>
          <w:b/>
          <w:bCs/>
        </w:rPr>
        <w:t xml:space="preserve">Pregão Eletrônico n° </w:t>
      </w:r>
      <w:r>
        <w:rPr>
          <w:rFonts w:hint="default" w:ascii="Arial" w:hAnsi="Arial" w:cs="Arial"/>
          <w:b/>
          <w:bCs/>
          <w:lang w:val="pt-BR"/>
        </w:rPr>
        <w:t>036/2025</w:t>
      </w:r>
    </w:p>
    <w:p w14:paraId="6E1607EC">
      <w:pPr>
        <w:jc w:val="center"/>
        <w:rPr>
          <w:rFonts w:hint="default" w:ascii="Arial" w:hAnsi="Arial" w:cs="Arial"/>
          <w:b/>
          <w:bCs/>
          <w:lang w:val="pt-BR"/>
        </w:rPr>
      </w:pPr>
      <w:r>
        <w:rPr>
          <w:rFonts w:ascii="Arial" w:hAnsi="Arial" w:cs="Arial"/>
          <w:b/>
          <w:bCs/>
        </w:rPr>
        <w:t xml:space="preserve">Registro de Preços n° </w:t>
      </w:r>
      <w:r>
        <w:rPr>
          <w:rFonts w:hint="default" w:ascii="Arial" w:hAnsi="Arial" w:cs="Arial"/>
          <w:b/>
          <w:bCs/>
          <w:lang w:val="pt-BR"/>
        </w:rPr>
        <w:t>034/2025</w:t>
      </w:r>
    </w:p>
    <w:p w14:paraId="6CF192F8">
      <w:pPr>
        <w:spacing w:line="200" w:lineRule="atLeast"/>
        <w:jc w:val="center"/>
        <w:rPr>
          <w:rFonts w:ascii="Garamond" w:hAnsi="Garamond"/>
          <w:b/>
          <w:lang w:eastAsia="ar-SA"/>
        </w:rPr>
      </w:pPr>
    </w:p>
    <w:p w14:paraId="25F7BF22">
      <w:pPr>
        <w:spacing w:line="200" w:lineRule="atLeast"/>
        <w:jc w:val="center"/>
        <w:rPr>
          <w:rFonts w:ascii="Garamond" w:hAnsi="Garamond"/>
          <w:b/>
          <w:lang w:eastAsia="ar-SA"/>
        </w:rPr>
      </w:pPr>
    </w:p>
    <w:p w14:paraId="656C0072">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2B4DDFC0">
      <w:pPr>
        <w:autoSpaceDE w:val="0"/>
        <w:spacing w:line="200" w:lineRule="atLeast"/>
        <w:jc w:val="center"/>
        <w:rPr>
          <w:rFonts w:ascii="Arial" w:hAnsi="Arial" w:cs="Arial"/>
          <w:b/>
          <w:bCs/>
          <w:sz w:val="20"/>
          <w:szCs w:val="20"/>
          <w:lang w:eastAsia="ar-SA"/>
        </w:rPr>
      </w:pPr>
    </w:p>
    <w:p w14:paraId="240240C5">
      <w:pPr>
        <w:autoSpaceDE w:val="0"/>
        <w:spacing w:line="200" w:lineRule="atLeast"/>
        <w:rPr>
          <w:rFonts w:ascii="Arial" w:hAnsi="Arial" w:cs="Arial"/>
          <w:b/>
          <w:bCs/>
          <w:sz w:val="20"/>
          <w:szCs w:val="20"/>
          <w:lang w:eastAsia="ar-SA"/>
        </w:rPr>
      </w:pPr>
    </w:p>
    <w:p w14:paraId="234B25A5">
      <w:pPr>
        <w:autoSpaceDE w:val="0"/>
        <w:spacing w:line="200" w:lineRule="atLeast"/>
        <w:rPr>
          <w:rFonts w:ascii="Arial" w:hAnsi="Arial" w:cs="Arial"/>
          <w:b/>
          <w:bCs/>
          <w:sz w:val="20"/>
          <w:szCs w:val="20"/>
          <w:lang w:eastAsia="ar-SA"/>
        </w:rPr>
      </w:pPr>
    </w:p>
    <w:p w14:paraId="60EF2D20">
      <w:pPr>
        <w:autoSpaceDE w:val="0"/>
        <w:spacing w:line="200" w:lineRule="atLeast"/>
        <w:rPr>
          <w:rFonts w:ascii="Arial" w:hAnsi="Arial" w:cs="Arial"/>
          <w:b/>
          <w:bCs/>
          <w:sz w:val="20"/>
          <w:szCs w:val="20"/>
          <w:lang w:eastAsia="ar-SA"/>
        </w:rPr>
      </w:pPr>
    </w:p>
    <w:p w14:paraId="20F8C997">
      <w:pPr>
        <w:pStyle w:val="14"/>
        <w:ind w:firstLine="1134"/>
        <w:rPr>
          <w:rFonts w:ascii="Arial" w:hAnsi="Arial" w:cs="Arial"/>
          <w:sz w:val="20"/>
          <w:szCs w:val="20"/>
        </w:rPr>
      </w:pPr>
      <w:r>
        <w:rPr>
          <w:rFonts w:ascii="Arial" w:hAnsi="Arial" w:cs="Arial"/>
          <w:sz w:val="20"/>
          <w:szCs w:val="20"/>
        </w:rPr>
        <w:t>A Empresa _________________________________ inscrita no CNPJ sob  nº_________________________________, sediada (endereço completo), _______________________________________por seu representante abaixo assinado.</w:t>
      </w:r>
    </w:p>
    <w:p w14:paraId="4E7D5E17">
      <w:pPr>
        <w:autoSpaceDE w:val="0"/>
        <w:spacing w:line="200" w:lineRule="atLeast"/>
        <w:rPr>
          <w:rFonts w:ascii="Arial" w:hAnsi="Arial" w:cs="Arial"/>
          <w:sz w:val="20"/>
          <w:szCs w:val="20"/>
          <w:lang w:eastAsia="ar-SA"/>
        </w:rPr>
      </w:pPr>
      <w:r>
        <w:rPr>
          <w:rFonts w:ascii="Arial" w:hAnsi="Arial" w:cs="Arial"/>
          <w:sz w:val="20"/>
          <w:szCs w:val="20"/>
          <w:lang w:eastAsia="ar-SA"/>
        </w:rPr>
        <w:t xml:space="preserve">                                    </w:t>
      </w:r>
    </w:p>
    <w:p w14:paraId="6936A200">
      <w:pPr>
        <w:autoSpaceDE w:val="0"/>
        <w:spacing w:line="200" w:lineRule="atLeast"/>
        <w:ind w:firstLine="1134"/>
        <w:jc w:val="both"/>
        <w:rPr>
          <w:rFonts w:ascii="Arial" w:hAnsi="Arial" w:cs="Arial"/>
          <w:sz w:val="20"/>
          <w:szCs w:val="20"/>
          <w:lang w:eastAsia="ar-SA"/>
        </w:rPr>
      </w:pPr>
      <w:r>
        <w:rPr>
          <w:rFonts w:ascii="Arial" w:hAnsi="Arial" w:cs="Arial"/>
          <w:sz w:val="20"/>
          <w:szCs w:val="20"/>
          <w:lang w:eastAsia="ar-SA"/>
        </w:rPr>
        <w:t xml:space="preserve"> DECLARA, sob as penas da Lei, que </w:t>
      </w:r>
      <w:r>
        <w:rPr>
          <w:rFonts w:ascii="Arial" w:hAnsi="Arial" w:cs="Arial"/>
          <w:sz w:val="20"/>
          <w:szCs w:val="20"/>
        </w:rPr>
        <w:t xml:space="preserve">cumpre as exigências de reserva de cargos para pessoa com deficiência e para reabilitado da Previdência Social, previstas em lei e em outras normas específicas; </w:t>
      </w:r>
      <w:r>
        <w:rPr>
          <w:rFonts w:ascii="Arial" w:hAnsi="Arial" w:cs="Arial"/>
          <w:sz w:val="20"/>
          <w:szCs w:val="20"/>
          <w:lang w:eastAsia="ar-SA"/>
        </w:rPr>
        <w:t>(inciso IV do art. 63 da Lei 14.133/21).</w:t>
      </w:r>
    </w:p>
    <w:p w14:paraId="7C7D1A48">
      <w:pPr>
        <w:autoSpaceDE w:val="0"/>
        <w:spacing w:line="200" w:lineRule="atLeast"/>
        <w:ind w:firstLine="1134"/>
        <w:jc w:val="both"/>
        <w:rPr>
          <w:rFonts w:ascii="Arial" w:hAnsi="Arial" w:cs="Arial"/>
          <w:sz w:val="20"/>
          <w:szCs w:val="20"/>
          <w:lang w:eastAsia="ar-SA"/>
        </w:rPr>
      </w:pPr>
    </w:p>
    <w:p w14:paraId="73B95A90">
      <w:pPr>
        <w:autoSpaceDE w:val="0"/>
        <w:spacing w:line="200" w:lineRule="atLeast"/>
        <w:rPr>
          <w:rFonts w:ascii="Arial" w:hAnsi="Arial" w:cs="Arial"/>
          <w:sz w:val="20"/>
          <w:szCs w:val="20"/>
          <w:lang w:eastAsia="ar-SA"/>
        </w:rPr>
      </w:pPr>
    </w:p>
    <w:p w14:paraId="55269AC0">
      <w:pPr>
        <w:autoSpaceDE w:val="0"/>
        <w:spacing w:line="200" w:lineRule="atLeast"/>
        <w:rPr>
          <w:rFonts w:ascii="Arial" w:hAnsi="Arial" w:cs="Arial"/>
          <w:i/>
          <w:iCs/>
          <w:sz w:val="20"/>
          <w:szCs w:val="20"/>
          <w:lang w:eastAsia="ar-SA"/>
        </w:rPr>
      </w:pPr>
    </w:p>
    <w:p w14:paraId="1594CEB7">
      <w:pPr>
        <w:pStyle w:val="328"/>
        <w:spacing w:before="0" w:after="0"/>
        <w:jc w:val="both"/>
        <w:rPr>
          <w:rFonts w:ascii="Arial" w:hAnsi="Arial" w:cs="Arial"/>
          <w:sz w:val="20"/>
          <w:szCs w:val="20"/>
        </w:rPr>
      </w:pPr>
      <w:r>
        <w:rPr>
          <w:rFonts w:ascii="Arial" w:hAnsi="Arial" w:cs="Arial"/>
          <w:sz w:val="20"/>
          <w:szCs w:val="20"/>
        </w:rPr>
        <w:t xml:space="preserve">Cataguases/MG, ________ de ________________ de </w:t>
      </w:r>
      <w:r>
        <w:rPr>
          <w:rFonts w:ascii="Arial" w:hAnsi="Arial" w:cs="Arial"/>
          <w:sz w:val="20"/>
          <w:szCs w:val="20"/>
          <w:lang w:val="pt-BR"/>
        </w:rPr>
        <w:t>2025</w:t>
      </w:r>
      <w:r>
        <w:rPr>
          <w:rFonts w:ascii="Arial" w:hAnsi="Arial" w:cs="Arial"/>
          <w:sz w:val="20"/>
          <w:szCs w:val="20"/>
        </w:rPr>
        <w:t>.</w:t>
      </w:r>
    </w:p>
    <w:p w14:paraId="0BC178BF">
      <w:pPr>
        <w:pStyle w:val="328"/>
        <w:spacing w:before="0" w:after="0"/>
        <w:jc w:val="center"/>
        <w:rPr>
          <w:rFonts w:ascii="Arial" w:hAnsi="Arial" w:cs="Arial"/>
          <w:sz w:val="20"/>
          <w:szCs w:val="20"/>
        </w:rPr>
      </w:pPr>
    </w:p>
    <w:p w14:paraId="2D95C88E">
      <w:pPr>
        <w:pStyle w:val="328"/>
        <w:spacing w:before="0" w:after="0"/>
        <w:jc w:val="center"/>
        <w:rPr>
          <w:rFonts w:ascii="Arial" w:hAnsi="Arial" w:cs="Arial"/>
          <w:sz w:val="20"/>
          <w:szCs w:val="20"/>
        </w:rPr>
      </w:pPr>
    </w:p>
    <w:p w14:paraId="476D5BBF">
      <w:pPr>
        <w:pStyle w:val="328"/>
        <w:spacing w:before="0" w:after="0"/>
        <w:jc w:val="center"/>
        <w:rPr>
          <w:rFonts w:ascii="Arial" w:hAnsi="Arial" w:cs="Arial"/>
          <w:sz w:val="20"/>
          <w:szCs w:val="20"/>
        </w:rPr>
      </w:pPr>
    </w:p>
    <w:p w14:paraId="342BBE31">
      <w:pPr>
        <w:pStyle w:val="328"/>
        <w:spacing w:before="0" w:after="0"/>
        <w:jc w:val="center"/>
        <w:rPr>
          <w:rFonts w:ascii="Arial" w:hAnsi="Arial" w:cs="Arial"/>
          <w:sz w:val="20"/>
          <w:szCs w:val="20"/>
        </w:rPr>
      </w:pPr>
    </w:p>
    <w:p w14:paraId="542B95F5">
      <w:pPr>
        <w:pStyle w:val="328"/>
        <w:spacing w:before="0" w:after="0"/>
        <w:jc w:val="both"/>
        <w:rPr>
          <w:rFonts w:ascii="Arial" w:hAnsi="Arial" w:cs="Arial"/>
          <w:sz w:val="20"/>
          <w:szCs w:val="20"/>
        </w:rPr>
      </w:pPr>
    </w:p>
    <w:p w14:paraId="30C9B03A">
      <w:pPr>
        <w:pStyle w:val="328"/>
        <w:spacing w:before="0" w:after="0"/>
        <w:jc w:val="center"/>
        <w:rPr>
          <w:rFonts w:ascii="Arial" w:hAnsi="Arial" w:cs="Arial"/>
          <w:sz w:val="20"/>
          <w:szCs w:val="20"/>
        </w:rPr>
      </w:pPr>
      <w:r>
        <w:rPr>
          <w:rFonts w:ascii="Arial" w:hAnsi="Arial" w:cs="Arial"/>
          <w:sz w:val="20"/>
          <w:szCs w:val="20"/>
        </w:rPr>
        <w:t>____________________________________</w:t>
      </w:r>
    </w:p>
    <w:p w14:paraId="60140F41">
      <w:pPr>
        <w:pStyle w:val="328"/>
        <w:spacing w:before="0" w:after="0"/>
        <w:jc w:val="center"/>
        <w:rPr>
          <w:rFonts w:ascii="Arial" w:hAnsi="Arial" w:cs="Arial"/>
          <w:sz w:val="20"/>
          <w:szCs w:val="20"/>
        </w:rPr>
      </w:pPr>
      <w:r>
        <w:rPr>
          <w:rFonts w:ascii="Arial" w:hAnsi="Arial" w:cs="Arial"/>
          <w:sz w:val="20"/>
          <w:szCs w:val="20"/>
        </w:rPr>
        <w:t>Ass. Responsável</w:t>
      </w:r>
    </w:p>
    <w:p w14:paraId="4738A945">
      <w:pPr>
        <w:autoSpaceDE w:val="0"/>
        <w:spacing w:line="200" w:lineRule="atLeast"/>
        <w:rPr>
          <w:rFonts w:ascii="Arial" w:hAnsi="Arial" w:cs="Arial"/>
          <w:sz w:val="20"/>
          <w:szCs w:val="20"/>
          <w:lang w:eastAsia="ar-SA"/>
        </w:rPr>
      </w:pPr>
    </w:p>
    <w:p w14:paraId="43337DD0">
      <w:pPr>
        <w:pStyle w:val="328"/>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77CDE986">
      <w:pPr>
        <w:autoSpaceDE w:val="0"/>
        <w:autoSpaceDN w:val="0"/>
        <w:adjustRightInd w:val="0"/>
        <w:rPr>
          <w:rFonts w:ascii="Arial" w:hAnsi="Arial" w:eastAsia="Calibri" w:cs="Arial"/>
          <w:color w:val="000000"/>
          <w:sz w:val="20"/>
          <w:szCs w:val="20"/>
          <w:lang w:eastAsia="en-US"/>
        </w:rPr>
      </w:pPr>
    </w:p>
    <w:p w14:paraId="4ADFB949">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7CA00805">
      <w:pPr>
        <w:ind w:firstLine="567"/>
        <w:jc w:val="center"/>
        <w:rPr>
          <w:rFonts w:ascii="Arial" w:hAnsi="Arial" w:cs="Arial"/>
          <w:b/>
          <w:bCs/>
          <w:sz w:val="20"/>
          <w:szCs w:val="20"/>
        </w:rPr>
      </w:pPr>
    </w:p>
    <w:p w14:paraId="6D409C75">
      <w:pPr>
        <w:ind w:firstLine="567"/>
        <w:jc w:val="center"/>
        <w:rPr>
          <w:rFonts w:ascii="Arial" w:hAnsi="Arial" w:cs="Arial"/>
          <w:b/>
          <w:bCs/>
          <w:sz w:val="20"/>
          <w:szCs w:val="20"/>
        </w:rPr>
      </w:pPr>
    </w:p>
    <w:p w14:paraId="48DB0618">
      <w:pPr>
        <w:ind w:firstLine="567"/>
        <w:jc w:val="center"/>
        <w:rPr>
          <w:rFonts w:ascii="Arial" w:hAnsi="Arial" w:cs="Arial"/>
          <w:b/>
          <w:bCs/>
          <w:sz w:val="20"/>
          <w:szCs w:val="20"/>
        </w:rPr>
      </w:pPr>
    </w:p>
    <w:p w14:paraId="48225D85">
      <w:pPr>
        <w:ind w:firstLine="567"/>
        <w:jc w:val="center"/>
        <w:rPr>
          <w:rFonts w:ascii="Arial" w:hAnsi="Arial" w:cs="Arial"/>
          <w:b/>
          <w:bCs/>
          <w:sz w:val="20"/>
          <w:szCs w:val="20"/>
        </w:rPr>
      </w:pPr>
    </w:p>
    <w:p w14:paraId="224F3BC8">
      <w:pPr>
        <w:ind w:firstLine="567"/>
        <w:jc w:val="center"/>
        <w:rPr>
          <w:rFonts w:ascii="Arial" w:hAnsi="Arial" w:cs="Arial"/>
          <w:b/>
          <w:bCs/>
          <w:sz w:val="20"/>
          <w:szCs w:val="20"/>
        </w:rPr>
      </w:pPr>
    </w:p>
    <w:p w14:paraId="639C8C11">
      <w:pPr>
        <w:ind w:firstLine="567"/>
        <w:jc w:val="center"/>
        <w:rPr>
          <w:rFonts w:ascii="Arial" w:hAnsi="Arial" w:cs="Arial"/>
          <w:b/>
          <w:bCs/>
          <w:sz w:val="20"/>
          <w:szCs w:val="20"/>
        </w:rPr>
      </w:pPr>
    </w:p>
    <w:p w14:paraId="4DD2601D">
      <w:pPr>
        <w:ind w:firstLine="567"/>
        <w:jc w:val="center"/>
        <w:rPr>
          <w:rFonts w:ascii="Arial" w:hAnsi="Arial" w:cs="Arial"/>
          <w:b/>
          <w:bCs/>
          <w:sz w:val="20"/>
          <w:szCs w:val="20"/>
        </w:rPr>
      </w:pPr>
    </w:p>
    <w:p w14:paraId="761AEE61">
      <w:pPr>
        <w:ind w:firstLine="567"/>
        <w:jc w:val="center"/>
        <w:rPr>
          <w:rFonts w:ascii="Arial" w:hAnsi="Arial" w:cs="Arial"/>
          <w:b/>
          <w:bCs/>
          <w:sz w:val="20"/>
          <w:szCs w:val="20"/>
        </w:rPr>
      </w:pPr>
    </w:p>
    <w:p w14:paraId="2CD06A5B">
      <w:pPr>
        <w:ind w:firstLine="567"/>
        <w:jc w:val="center"/>
        <w:rPr>
          <w:rFonts w:ascii="Arial" w:hAnsi="Arial" w:cs="Arial"/>
          <w:b/>
          <w:bCs/>
          <w:sz w:val="20"/>
          <w:szCs w:val="20"/>
        </w:rPr>
      </w:pPr>
    </w:p>
    <w:p w14:paraId="0479C90B">
      <w:pPr>
        <w:ind w:firstLine="567"/>
        <w:jc w:val="center"/>
        <w:rPr>
          <w:rFonts w:ascii="Arial" w:hAnsi="Arial" w:cs="Arial"/>
          <w:b/>
          <w:bCs/>
          <w:sz w:val="20"/>
          <w:szCs w:val="20"/>
        </w:rPr>
      </w:pPr>
    </w:p>
    <w:p w14:paraId="42D6324E">
      <w:pPr>
        <w:ind w:firstLine="567"/>
        <w:jc w:val="center"/>
        <w:rPr>
          <w:rFonts w:ascii="Arial" w:hAnsi="Arial" w:cs="Arial"/>
          <w:b/>
          <w:bCs/>
          <w:sz w:val="20"/>
          <w:szCs w:val="20"/>
        </w:rPr>
      </w:pPr>
    </w:p>
    <w:p w14:paraId="404D305A">
      <w:pPr>
        <w:ind w:firstLine="567"/>
        <w:jc w:val="center"/>
        <w:rPr>
          <w:rFonts w:ascii="Arial" w:hAnsi="Arial" w:cs="Arial"/>
          <w:b/>
          <w:bCs/>
          <w:sz w:val="20"/>
          <w:szCs w:val="20"/>
        </w:rPr>
      </w:pPr>
    </w:p>
    <w:p w14:paraId="0166C6E9">
      <w:pPr>
        <w:ind w:firstLine="567"/>
        <w:jc w:val="center"/>
        <w:rPr>
          <w:rFonts w:ascii="Arial" w:hAnsi="Arial" w:cs="Arial"/>
          <w:b/>
          <w:bCs/>
          <w:sz w:val="20"/>
          <w:szCs w:val="20"/>
        </w:rPr>
      </w:pPr>
    </w:p>
    <w:p w14:paraId="7A00FE9A">
      <w:pPr>
        <w:ind w:firstLine="567"/>
        <w:jc w:val="center"/>
        <w:rPr>
          <w:rFonts w:ascii="Arial" w:hAnsi="Arial" w:cs="Arial"/>
          <w:b/>
          <w:bCs/>
          <w:sz w:val="20"/>
          <w:szCs w:val="20"/>
        </w:rPr>
      </w:pPr>
    </w:p>
    <w:p w14:paraId="2D83DBBB">
      <w:pPr>
        <w:ind w:firstLine="567"/>
        <w:jc w:val="center"/>
        <w:rPr>
          <w:rFonts w:ascii="Arial" w:hAnsi="Arial" w:cs="Arial"/>
          <w:b/>
          <w:bCs/>
          <w:sz w:val="20"/>
          <w:szCs w:val="20"/>
        </w:rPr>
      </w:pPr>
    </w:p>
    <w:p w14:paraId="2B244719">
      <w:pPr>
        <w:ind w:firstLine="567"/>
        <w:jc w:val="center"/>
        <w:rPr>
          <w:rFonts w:ascii="Arial" w:hAnsi="Arial" w:cs="Arial"/>
          <w:b/>
          <w:bCs/>
          <w:sz w:val="20"/>
          <w:szCs w:val="20"/>
        </w:rPr>
      </w:pPr>
    </w:p>
    <w:p w14:paraId="482685AB">
      <w:pPr>
        <w:ind w:firstLine="567"/>
        <w:jc w:val="center"/>
        <w:rPr>
          <w:rFonts w:ascii="Arial" w:hAnsi="Arial" w:cs="Arial"/>
          <w:b/>
          <w:bCs/>
          <w:sz w:val="20"/>
          <w:szCs w:val="20"/>
        </w:rPr>
      </w:pPr>
    </w:p>
    <w:p w14:paraId="0E120E44">
      <w:pPr>
        <w:ind w:firstLine="567"/>
        <w:jc w:val="center"/>
        <w:rPr>
          <w:rFonts w:ascii="Arial" w:hAnsi="Arial" w:cs="Arial"/>
          <w:b/>
          <w:bCs/>
          <w:sz w:val="20"/>
          <w:szCs w:val="20"/>
        </w:rPr>
      </w:pPr>
    </w:p>
    <w:p w14:paraId="45980E52">
      <w:pPr>
        <w:ind w:firstLine="567"/>
        <w:jc w:val="center"/>
        <w:rPr>
          <w:rFonts w:ascii="Arial" w:hAnsi="Arial" w:cs="Arial"/>
          <w:b/>
          <w:bCs/>
          <w:sz w:val="20"/>
          <w:szCs w:val="20"/>
        </w:rPr>
      </w:pPr>
    </w:p>
    <w:p w14:paraId="6B599556">
      <w:pPr>
        <w:ind w:firstLine="567"/>
        <w:jc w:val="center"/>
        <w:rPr>
          <w:rFonts w:ascii="Arial" w:hAnsi="Arial" w:cs="Arial"/>
          <w:b/>
          <w:bCs/>
          <w:sz w:val="20"/>
          <w:szCs w:val="20"/>
        </w:rPr>
      </w:pPr>
    </w:p>
    <w:p w14:paraId="29E4DE0B">
      <w:pPr>
        <w:ind w:firstLine="567"/>
        <w:jc w:val="center"/>
        <w:rPr>
          <w:rFonts w:ascii="Arial" w:hAnsi="Arial" w:cs="Arial"/>
          <w:b/>
          <w:bCs/>
          <w:sz w:val="20"/>
          <w:szCs w:val="20"/>
        </w:rPr>
      </w:pPr>
    </w:p>
    <w:p w14:paraId="78F3E2AA">
      <w:pPr>
        <w:ind w:firstLine="567"/>
        <w:jc w:val="center"/>
        <w:rPr>
          <w:rFonts w:ascii="Arial" w:hAnsi="Arial" w:cs="Arial"/>
          <w:b/>
          <w:bCs/>
          <w:sz w:val="20"/>
          <w:szCs w:val="20"/>
        </w:rPr>
      </w:pPr>
    </w:p>
    <w:p w14:paraId="025A4609">
      <w:pPr>
        <w:ind w:firstLine="567"/>
        <w:jc w:val="center"/>
        <w:rPr>
          <w:rFonts w:ascii="Arial" w:hAnsi="Arial" w:cs="Arial"/>
          <w:b/>
          <w:bCs/>
          <w:sz w:val="20"/>
          <w:szCs w:val="20"/>
        </w:rPr>
      </w:pPr>
    </w:p>
    <w:p w14:paraId="63E2DADF">
      <w:pPr>
        <w:ind w:firstLine="567"/>
        <w:jc w:val="center"/>
        <w:rPr>
          <w:rFonts w:ascii="Arial" w:hAnsi="Arial" w:cs="Arial"/>
          <w:b/>
          <w:bCs/>
          <w:sz w:val="20"/>
          <w:szCs w:val="20"/>
        </w:rPr>
      </w:pPr>
    </w:p>
    <w:p w14:paraId="3CDAC4CE">
      <w:pPr>
        <w:jc w:val="center"/>
        <w:rPr>
          <w:rFonts w:ascii="Arial" w:hAnsi="Arial" w:cs="Arial"/>
          <w:b/>
          <w:bCs/>
          <w:sz w:val="26"/>
          <w:szCs w:val="26"/>
        </w:rPr>
      </w:pPr>
    </w:p>
    <w:p w14:paraId="64C436E3">
      <w:pPr>
        <w:jc w:val="center"/>
        <w:rPr>
          <w:rFonts w:ascii="Arial" w:hAnsi="Arial" w:cs="Arial"/>
          <w:b/>
          <w:bCs/>
          <w:sz w:val="26"/>
          <w:szCs w:val="26"/>
        </w:rPr>
      </w:pPr>
      <w:r>
        <w:rPr>
          <w:rFonts w:ascii="Arial" w:hAnsi="Arial" w:cs="Arial"/>
          <w:b/>
          <w:bCs/>
          <w:sz w:val="26"/>
          <w:szCs w:val="26"/>
        </w:rPr>
        <w:t>ANEXO VI</w:t>
      </w:r>
    </w:p>
    <w:p w14:paraId="13635BEC">
      <w:pPr>
        <w:jc w:val="center"/>
        <w:rPr>
          <w:rFonts w:ascii="Arial" w:hAnsi="Arial" w:cs="Arial"/>
          <w:b/>
          <w:bCs/>
        </w:rPr>
      </w:pPr>
    </w:p>
    <w:p w14:paraId="071DA1B5">
      <w:pPr>
        <w:jc w:val="center"/>
        <w:rPr>
          <w:rFonts w:hint="default" w:ascii="Arial" w:hAnsi="Arial" w:cs="Arial"/>
          <w:b/>
          <w:bCs/>
          <w:lang w:val="pt-BR"/>
        </w:rPr>
      </w:pPr>
      <w:r>
        <w:rPr>
          <w:rFonts w:ascii="Arial" w:hAnsi="Arial" w:cs="Arial"/>
          <w:b/>
          <w:bCs/>
        </w:rPr>
        <w:t xml:space="preserve">Processo Licitatório n° </w:t>
      </w:r>
      <w:r>
        <w:rPr>
          <w:rFonts w:hint="default" w:ascii="Arial" w:hAnsi="Arial" w:cs="Arial"/>
          <w:b/>
          <w:bCs/>
          <w:lang w:val="pt-BR"/>
        </w:rPr>
        <w:t>065/2025</w:t>
      </w:r>
    </w:p>
    <w:p w14:paraId="5072DCB2">
      <w:pPr>
        <w:jc w:val="center"/>
        <w:rPr>
          <w:rFonts w:hint="default" w:ascii="Arial" w:hAnsi="Arial" w:cs="Arial"/>
          <w:b/>
          <w:bCs/>
          <w:lang w:val="pt-BR"/>
        </w:rPr>
      </w:pPr>
      <w:r>
        <w:rPr>
          <w:rFonts w:ascii="Arial" w:hAnsi="Arial" w:cs="Arial"/>
          <w:b/>
          <w:bCs/>
        </w:rPr>
        <w:t xml:space="preserve">Pregão Eletrônico n° </w:t>
      </w:r>
      <w:r>
        <w:rPr>
          <w:rFonts w:hint="default" w:ascii="Arial" w:hAnsi="Arial" w:cs="Arial"/>
          <w:b/>
          <w:bCs/>
          <w:lang w:val="pt-BR"/>
        </w:rPr>
        <w:t>036/2025</w:t>
      </w:r>
    </w:p>
    <w:p w14:paraId="4F979299">
      <w:pPr>
        <w:jc w:val="center"/>
        <w:rPr>
          <w:rFonts w:hint="default" w:ascii="Arial" w:hAnsi="Arial" w:cs="Arial"/>
          <w:b/>
          <w:bCs/>
          <w:lang w:val="pt-BR"/>
        </w:rPr>
      </w:pPr>
      <w:r>
        <w:rPr>
          <w:rFonts w:ascii="Arial" w:hAnsi="Arial" w:cs="Arial"/>
          <w:b/>
          <w:bCs/>
        </w:rPr>
        <w:t xml:space="preserve">Registro de Preços n° </w:t>
      </w:r>
      <w:r>
        <w:rPr>
          <w:rFonts w:hint="default" w:ascii="Arial" w:hAnsi="Arial" w:cs="Arial"/>
          <w:b/>
          <w:bCs/>
          <w:lang w:val="pt-BR"/>
        </w:rPr>
        <w:t>034/2025</w:t>
      </w:r>
    </w:p>
    <w:p w14:paraId="662EFDE5">
      <w:pPr>
        <w:spacing w:line="200" w:lineRule="atLeast"/>
        <w:jc w:val="center"/>
        <w:rPr>
          <w:rFonts w:ascii="Garamond" w:hAnsi="Garamond"/>
          <w:b/>
          <w:lang w:eastAsia="ar-SA"/>
        </w:rPr>
      </w:pPr>
    </w:p>
    <w:p w14:paraId="4C39AC45">
      <w:pPr>
        <w:spacing w:line="200" w:lineRule="atLeast"/>
        <w:jc w:val="center"/>
        <w:rPr>
          <w:rFonts w:ascii="Garamond" w:hAnsi="Garamond"/>
          <w:b/>
          <w:lang w:eastAsia="ar-SA"/>
        </w:rPr>
      </w:pPr>
    </w:p>
    <w:p w14:paraId="6DBC6774">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29822389">
      <w:pPr>
        <w:autoSpaceDE w:val="0"/>
        <w:spacing w:line="200" w:lineRule="atLeast"/>
        <w:jc w:val="center"/>
        <w:rPr>
          <w:rFonts w:ascii="Arial" w:hAnsi="Arial" w:cs="Arial"/>
          <w:b/>
          <w:bCs/>
          <w:sz w:val="20"/>
          <w:szCs w:val="20"/>
          <w:lang w:eastAsia="ar-SA"/>
        </w:rPr>
      </w:pPr>
    </w:p>
    <w:p w14:paraId="4998FCB9">
      <w:pPr>
        <w:autoSpaceDE w:val="0"/>
        <w:spacing w:line="200" w:lineRule="atLeast"/>
        <w:rPr>
          <w:rFonts w:ascii="Arial" w:hAnsi="Arial" w:cs="Arial"/>
          <w:b/>
          <w:bCs/>
          <w:sz w:val="20"/>
          <w:szCs w:val="20"/>
          <w:lang w:eastAsia="ar-SA"/>
        </w:rPr>
      </w:pPr>
    </w:p>
    <w:p w14:paraId="17931705">
      <w:pPr>
        <w:autoSpaceDE w:val="0"/>
        <w:spacing w:line="200" w:lineRule="atLeast"/>
        <w:rPr>
          <w:rFonts w:ascii="Arial" w:hAnsi="Arial" w:cs="Arial"/>
          <w:b/>
          <w:bCs/>
          <w:sz w:val="20"/>
          <w:szCs w:val="20"/>
          <w:lang w:eastAsia="ar-SA"/>
        </w:rPr>
      </w:pPr>
    </w:p>
    <w:p w14:paraId="2FF9D77C">
      <w:pPr>
        <w:autoSpaceDE w:val="0"/>
        <w:spacing w:line="200" w:lineRule="atLeast"/>
        <w:rPr>
          <w:rFonts w:ascii="Arial" w:hAnsi="Arial" w:cs="Arial"/>
          <w:b/>
          <w:bCs/>
          <w:sz w:val="20"/>
          <w:szCs w:val="20"/>
          <w:lang w:eastAsia="ar-SA"/>
        </w:rPr>
      </w:pPr>
    </w:p>
    <w:p w14:paraId="19AAF24C">
      <w:pPr>
        <w:pStyle w:val="14"/>
        <w:ind w:firstLine="1134"/>
        <w:rPr>
          <w:rFonts w:ascii="Arial" w:hAnsi="Arial" w:cs="Arial"/>
          <w:sz w:val="20"/>
          <w:szCs w:val="20"/>
        </w:rPr>
      </w:pPr>
      <w:r>
        <w:rPr>
          <w:rFonts w:ascii="Arial" w:hAnsi="Arial" w:cs="Arial"/>
          <w:sz w:val="20"/>
          <w:szCs w:val="20"/>
        </w:rPr>
        <w:t>A Empresa _________________________________ inscrita no CNPJ sob  nº_________________________________, sediada (endereço completo), _______________________________________por seu representante abaixo assinado.</w:t>
      </w:r>
    </w:p>
    <w:p w14:paraId="62B51C3D">
      <w:pPr>
        <w:autoSpaceDE w:val="0"/>
        <w:spacing w:line="200" w:lineRule="atLeast"/>
        <w:rPr>
          <w:rFonts w:ascii="Arial" w:hAnsi="Arial" w:cs="Arial"/>
          <w:sz w:val="20"/>
          <w:szCs w:val="20"/>
          <w:lang w:eastAsia="ar-SA"/>
        </w:rPr>
      </w:pPr>
      <w:r>
        <w:rPr>
          <w:rFonts w:ascii="Arial" w:hAnsi="Arial" w:cs="Arial"/>
          <w:sz w:val="20"/>
          <w:szCs w:val="20"/>
          <w:lang w:eastAsia="ar-SA"/>
        </w:rPr>
        <w:t xml:space="preserve">                                    </w:t>
      </w:r>
    </w:p>
    <w:p w14:paraId="6592D4F9">
      <w:pPr>
        <w:autoSpaceDE w:val="0"/>
        <w:spacing w:line="200" w:lineRule="atLeast"/>
        <w:ind w:firstLine="1134"/>
        <w:jc w:val="both"/>
        <w:rPr>
          <w:rFonts w:ascii="Arial" w:hAnsi="Arial" w:cs="Arial"/>
          <w:sz w:val="20"/>
          <w:szCs w:val="20"/>
          <w:lang w:eastAsia="ar-SA"/>
        </w:rPr>
      </w:pPr>
      <w:r>
        <w:rPr>
          <w:rFonts w:ascii="Arial" w:hAnsi="Arial" w:cs="Arial"/>
          <w:sz w:val="20"/>
          <w:szCs w:val="20"/>
          <w:lang w:eastAsia="ar-SA"/>
        </w:rPr>
        <w:t xml:space="preserve"> DECLARA, sob as penas da Lei, que </w:t>
      </w:r>
      <w:r>
        <w:rPr>
          <w:rFonts w:ascii="Arial" w:hAnsi="Arial" w:cs="Arial"/>
          <w:sz w:val="20"/>
          <w:szCs w:val="20"/>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0"/>
          <w:szCs w:val="20"/>
          <w:lang w:eastAsia="ar-SA"/>
        </w:rPr>
        <w:t xml:space="preserve"> (inciso IV &amp; 1º do art. 63 da Lei 14.133/21).</w:t>
      </w:r>
    </w:p>
    <w:p w14:paraId="6E455B59">
      <w:pPr>
        <w:pStyle w:val="328"/>
        <w:spacing w:before="0" w:after="0"/>
        <w:jc w:val="center"/>
        <w:rPr>
          <w:rFonts w:ascii="Arial" w:hAnsi="Arial" w:cs="Arial"/>
          <w:sz w:val="20"/>
          <w:szCs w:val="20"/>
        </w:rPr>
      </w:pPr>
    </w:p>
    <w:p w14:paraId="6D9556C0">
      <w:pPr>
        <w:pStyle w:val="328"/>
        <w:spacing w:before="0" w:after="0"/>
        <w:jc w:val="center"/>
        <w:rPr>
          <w:rFonts w:ascii="Arial" w:hAnsi="Arial" w:cs="Arial"/>
          <w:sz w:val="20"/>
          <w:szCs w:val="20"/>
        </w:rPr>
      </w:pPr>
    </w:p>
    <w:p w14:paraId="10E24DE0">
      <w:pPr>
        <w:pStyle w:val="328"/>
        <w:spacing w:before="0" w:after="0"/>
        <w:jc w:val="center"/>
        <w:rPr>
          <w:rFonts w:ascii="Arial" w:hAnsi="Arial" w:cs="Arial"/>
          <w:sz w:val="20"/>
          <w:szCs w:val="20"/>
        </w:rPr>
      </w:pPr>
    </w:p>
    <w:p w14:paraId="68F4911D">
      <w:pPr>
        <w:autoSpaceDE w:val="0"/>
        <w:spacing w:line="200" w:lineRule="atLeast"/>
        <w:rPr>
          <w:rFonts w:ascii="Arial" w:hAnsi="Arial" w:cs="Arial"/>
          <w:i/>
          <w:iCs/>
          <w:sz w:val="20"/>
          <w:szCs w:val="20"/>
          <w:lang w:eastAsia="ar-SA"/>
        </w:rPr>
      </w:pPr>
    </w:p>
    <w:p w14:paraId="7D6A4894">
      <w:pPr>
        <w:pStyle w:val="328"/>
        <w:spacing w:before="0" w:after="0"/>
        <w:jc w:val="both"/>
        <w:rPr>
          <w:rFonts w:ascii="Arial" w:hAnsi="Arial" w:cs="Arial"/>
          <w:sz w:val="20"/>
          <w:szCs w:val="20"/>
        </w:rPr>
      </w:pPr>
      <w:r>
        <w:rPr>
          <w:rFonts w:ascii="Arial" w:hAnsi="Arial" w:cs="Arial"/>
          <w:sz w:val="20"/>
          <w:szCs w:val="20"/>
        </w:rPr>
        <w:t xml:space="preserve">Cataguases/MG, ________ de ________________ de </w:t>
      </w:r>
      <w:r>
        <w:rPr>
          <w:rFonts w:ascii="Arial" w:hAnsi="Arial" w:cs="Arial"/>
          <w:sz w:val="20"/>
          <w:szCs w:val="20"/>
          <w:lang w:val="pt-BR"/>
        </w:rPr>
        <w:t>2025</w:t>
      </w:r>
      <w:r>
        <w:rPr>
          <w:rFonts w:ascii="Arial" w:hAnsi="Arial" w:cs="Arial"/>
          <w:sz w:val="20"/>
          <w:szCs w:val="20"/>
        </w:rPr>
        <w:t>.</w:t>
      </w:r>
    </w:p>
    <w:p w14:paraId="32451762">
      <w:pPr>
        <w:pStyle w:val="328"/>
        <w:spacing w:before="0" w:after="0"/>
        <w:jc w:val="both"/>
        <w:rPr>
          <w:rFonts w:ascii="Arial" w:hAnsi="Arial" w:cs="Arial"/>
          <w:sz w:val="20"/>
          <w:szCs w:val="20"/>
        </w:rPr>
      </w:pPr>
    </w:p>
    <w:p w14:paraId="1EEE13EF">
      <w:pPr>
        <w:pStyle w:val="328"/>
        <w:spacing w:before="0" w:after="0"/>
        <w:jc w:val="center"/>
        <w:rPr>
          <w:rFonts w:ascii="Arial" w:hAnsi="Arial" w:cs="Arial"/>
          <w:sz w:val="20"/>
          <w:szCs w:val="20"/>
        </w:rPr>
      </w:pPr>
    </w:p>
    <w:p w14:paraId="4D45AC4D">
      <w:pPr>
        <w:pStyle w:val="328"/>
        <w:spacing w:before="0" w:after="0"/>
        <w:jc w:val="center"/>
        <w:rPr>
          <w:rFonts w:ascii="Arial" w:hAnsi="Arial" w:cs="Arial"/>
          <w:sz w:val="20"/>
          <w:szCs w:val="20"/>
        </w:rPr>
      </w:pPr>
      <w:r>
        <w:rPr>
          <w:rFonts w:ascii="Arial" w:hAnsi="Arial" w:cs="Arial"/>
          <w:sz w:val="20"/>
          <w:szCs w:val="20"/>
        </w:rPr>
        <w:t>____________________________________</w:t>
      </w:r>
    </w:p>
    <w:p w14:paraId="2288743C">
      <w:pPr>
        <w:pStyle w:val="328"/>
        <w:spacing w:before="0" w:after="0"/>
        <w:jc w:val="center"/>
        <w:rPr>
          <w:rFonts w:ascii="Arial" w:hAnsi="Arial" w:cs="Arial"/>
          <w:sz w:val="20"/>
          <w:szCs w:val="20"/>
        </w:rPr>
      </w:pPr>
      <w:r>
        <w:rPr>
          <w:rFonts w:ascii="Arial" w:hAnsi="Arial" w:cs="Arial"/>
          <w:sz w:val="20"/>
          <w:szCs w:val="20"/>
        </w:rPr>
        <w:t>Ass. Responsável</w:t>
      </w:r>
    </w:p>
    <w:p w14:paraId="17D0F88B">
      <w:pPr>
        <w:autoSpaceDE w:val="0"/>
        <w:spacing w:line="200" w:lineRule="atLeast"/>
        <w:rPr>
          <w:rFonts w:ascii="Arial" w:hAnsi="Arial" w:cs="Arial"/>
          <w:sz w:val="20"/>
          <w:szCs w:val="20"/>
          <w:lang w:eastAsia="ar-SA"/>
        </w:rPr>
      </w:pPr>
    </w:p>
    <w:p w14:paraId="221AB291">
      <w:pPr>
        <w:pStyle w:val="328"/>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7E3FD756">
      <w:pPr>
        <w:autoSpaceDE w:val="0"/>
        <w:autoSpaceDN w:val="0"/>
        <w:adjustRightInd w:val="0"/>
        <w:rPr>
          <w:rFonts w:ascii="Arial" w:hAnsi="Arial" w:eastAsia="Calibri" w:cs="Arial"/>
          <w:color w:val="000000"/>
          <w:sz w:val="20"/>
          <w:szCs w:val="20"/>
          <w:lang w:eastAsia="en-US"/>
        </w:rPr>
      </w:pPr>
    </w:p>
    <w:p w14:paraId="146E9CE1">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2440067E">
      <w:pPr>
        <w:ind w:left="-284" w:firstLine="284"/>
        <w:jc w:val="both"/>
        <w:rPr>
          <w:rFonts w:ascii="Arial" w:hAnsi="Arial" w:cs="Arial" w:eastAsiaTheme="minorHAnsi"/>
          <w:sz w:val="20"/>
          <w:szCs w:val="20"/>
        </w:rPr>
      </w:pPr>
    </w:p>
    <w:p w14:paraId="6207CAA7">
      <w:pPr>
        <w:ind w:left="-284" w:firstLine="284"/>
        <w:jc w:val="both"/>
        <w:rPr>
          <w:rFonts w:ascii="Arial" w:hAnsi="Arial" w:cs="Arial" w:eastAsiaTheme="minorHAnsi"/>
          <w:sz w:val="20"/>
          <w:szCs w:val="20"/>
        </w:rPr>
      </w:pPr>
    </w:p>
    <w:p w14:paraId="7AFB3013">
      <w:pPr>
        <w:ind w:left="-284" w:firstLine="284"/>
        <w:jc w:val="both"/>
        <w:rPr>
          <w:rFonts w:ascii="Arial" w:hAnsi="Arial" w:cs="Arial" w:eastAsiaTheme="minorHAnsi"/>
          <w:sz w:val="20"/>
          <w:szCs w:val="20"/>
        </w:rPr>
      </w:pPr>
    </w:p>
    <w:p w14:paraId="180B0EF1">
      <w:pPr>
        <w:ind w:left="-284" w:firstLine="284"/>
        <w:jc w:val="both"/>
        <w:rPr>
          <w:rFonts w:ascii="Arial" w:hAnsi="Arial" w:cs="Arial" w:eastAsiaTheme="minorHAnsi"/>
          <w:sz w:val="20"/>
          <w:szCs w:val="20"/>
        </w:rPr>
      </w:pPr>
    </w:p>
    <w:p w14:paraId="10902690">
      <w:pPr>
        <w:ind w:left="-284" w:firstLine="284"/>
        <w:jc w:val="both"/>
        <w:rPr>
          <w:rFonts w:ascii="Arial" w:hAnsi="Arial" w:cs="Arial" w:eastAsiaTheme="minorHAnsi"/>
          <w:sz w:val="20"/>
          <w:szCs w:val="20"/>
        </w:rPr>
      </w:pPr>
    </w:p>
    <w:p w14:paraId="572A47DF">
      <w:pPr>
        <w:ind w:left="-284" w:firstLine="284"/>
        <w:jc w:val="both"/>
        <w:rPr>
          <w:rFonts w:ascii="Arial" w:hAnsi="Arial" w:cs="Arial" w:eastAsiaTheme="minorHAnsi"/>
          <w:sz w:val="20"/>
          <w:szCs w:val="20"/>
        </w:rPr>
      </w:pPr>
    </w:p>
    <w:p w14:paraId="7F644B0E">
      <w:pPr>
        <w:ind w:left="-284" w:firstLine="284"/>
        <w:jc w:val="both"/>
        <w:rPr>
          <w:rFonts w:ascii="Arial" w:hAnsi="Arial" w:cs="Arial" w:eastAsiaTheme="minorHAnsi"/>
          <w:sz w:val="20"/>
          <w:szCs w:val="20"/>
        </w:rPr>
      </w:pPr>
    </w:p>
    <w:p w14:paraId="4DA4370D">
      <w:pPr>
        <w:ind w:left="-284" w:firstLine="284"/>
        <w:jc w:val="both"/>
        <w:rPr>
          <w:rFonts w:ascii="Arial" w:hAnsi="Arial" w:cs="Arial" w:eastAsiaTheme="minorHAnsi"/>
          <w:sz w:val="20"/>
          <w:szCs w:val="20"/>
        </w:rPr>
      </w:pPr>
    </w:p>
    <w:p w14:paraId="145E41D3">
      <w:pPr>
        <w:ind w:left="-284" w:firstLine="284"/>
        <w:jc w:val="both"/>
        <w:rPr>
          <w:rFonts w:ascii="Arial" w:hAnsi="Arial" w:cs="Arial" w:eastAsiaTheme="minorHAnsi"/>
          <w:sz w:val="20"/>
          <w:szCs w:val="20"/>
        </w:rPr>
      </w:pPr>
    </w:p>
    <w:p w14:paraId="36015927">
      <w:pPr>
        <w:ind w:left="-284" w:firstLine="284"/>
        <w:jc w:val="both"/>
        <w:rPr>
          <w:rFonts w:ascii="Arial" w:hAnsi="Arial" w:cs="Arial" w:eastAsiaTheme="minorHAnsi"/>
          <w:sz w:val="20"/>
          <w:szCs w:val="20"/>
        </w:rPr>
      </w:pPr>
    </w:p>
    <w:p w14:paraId="7A2D5D26">
      <w:pPr>
        <w:ind w:left="-284" w:firstLine="284"/>
        <w:jc w:val="both"/>
        <w:rPr>
          <w:rFonts w:ascii="Arial" w:hAnsi="Arial" w:cs="Arial" w:eastAsiaTheme="minorHAnsi"/>
          <w:sz w:val="20"/>
          <w:szCs w:val="20"/>
        </w:rPr>
      </w:pPr>
    </w:p>
    <w:p w14:paraId="04CF139F">
      <w:pPr>
        <w:ind w:left="-284" w:firstLine="284"/>
        <w:jc w:val="both"/>
        <w:rPr>
          <w:rFonts w:ascii="Arial" w:hAnsi="Arial" w:cs="Arial" w:eastAsiaTheme="minorHAnsi"/>
          <w:sz w:val="20"/>
          <w:szCs w:val="20"/>
        </w:rPr>
      </w:pPr>
    </w:p>
    <w:p w14:paraId="18D6215D">
      <w:pPr>
        <w:ind w:left="-284" w:firstLine="284"/>
        <w:jc w:val="both"/>
        <w:rPr>
          <w:rFonts w:ascii="Arial" w:hAnsi="Arial" w:cs="Arial" w:eastAsiaTheme="minorHAnsi"/>
          <w:sz w:val="20"/>
          <w:szCs w:val="20"/>
        </w:rPr>
      </w:pPr>
    </w:p>
    <w:p w14:paraId="5F2D494E">
      <w:pPr>
        <w:ind w:left="-284" w:firstLine="284"/>
        <w:jc w:val="both"/>
        <w:rPr>
          <w:rFonts w:ascii="Arial" w:hAnsi="Arial" w:cs="Arial" w:eastAsiaTheme="minorHAnsi"/>
          <w:sz w:val="20"/>
          <w:szCs w:val="20"/>
        </w:rPr>
      </w:pPr>
    </w:p>
    <w:p w14:paraId="0EDAAD8B">
      <w:pPr>
        <w:ind w:left="-284" w:firstLine="284"/>
        <w:jc w:val="both"/>
        <w:rPr>
          <w:rFonts w:ascii="Arial" w:hAnsi="Arial" w:cs="Arial" w:eastAsiaTheme="minorHAnsi"/>
          <w:sz w:val="20"/>
          <w:szCs w:val="20"/>
        </w:rPr>
      </w:pPr>
    </w:p>
    <w:p w14:paraId="1119D942">
      <w:pPr>
        <w:ind w:left="-284" w:firstLine="284"/>
        <w:jc w:val="both"/>
        <w:rPr>
          <w:rFonts w:ascii="Arial" w:hAnsi="Arial" w:cs="Arial" w:eastAsiaTheme="minorHAnsi"/>
          <w:sz w:val="20"/>
          <w:szCs w:val="20"/>
        </w:rPr>
      </w:pPr>
    </w:p>
    <w:p w14:paraId="6F9823C4">
      <w:pPr>
        <w:ind w:left="-284" w:firstLine="284"/>
        <w:jc w:val="both"/>
        <w:rPr>
          <w:rFonts w:ascii="Arial" w:hAnsi="Arial" w:cs="Arial" w:eastAsiaTheme="minorHAnsi"/>
          <w:sz w:val="20"/>
          <w:szCs w:val="20"/>
        </w:rPr>
      </w:pPr>
    </w:p>
    <w:p w14:paraId="01413E9C">
      <w:pPr>
        <w:ind w:left="-284" w:firstLine="284"/>
        <w:jc w:val="both"/>
        <w:rPr>
          <w:rFonts w:ascii="Arial" w:hAnsi="Arial" w:cs="Arial" w:eastAsiaTheme="minorHAnsi"/>
          <w:sz w:val="20"/>
          <w:szCs w:val="20"/>
        </w:rPr>
      </w:pPr>
    </w:p>
    <w:p w14:paraId="245F9642">
      <w:pPr>
        <w:ind w:left="-284" w:firstLine="284"/>
        <w:jc w:val="both"/>
        <w:rPr>
          <w:rFonts w:ascii="Arial" w:hAnsi="Arial" w:cs="Arial" w:eastAsiaTheme="minorHAnsi"/>
          <w:sz w:val="20"/>
          <w:szCs w:val="20"/>
        </w:rPr>
      </w:pPr>
    </w:p>
    <w:p w14:paraId="6DB06E5C">
      <w:pPr>
        <w:ind w:left="-284" w:firstLine="284"/>
        <w:jc w:val="both"/>
        <w:rPr>
          <w:rFonts w:ascii="Arial" w:hAnsi="Arial" w:cs="Arial" w:eastAsiaTheme="minorHAnsi"/>
          <w:sz w:val="20"/>
          <w:szCs w:val="20"/>
        </w:rPr>
      </w:pPr>
    </w:p>
    <w:p w14:paraId="76B669E1">
      <w:pPr>
        <w:ind w:left="-284" w:firstLine="284"/>
        <w:jc w:val="both"/>
        <w:rPr>
          <w:rFonts w:ascii="Arial" w:hAnsi="Arial" w:cs="Arial" w:eastAsiaTheme="minorHAnsi"/>
          <w:sz w:val="20"/>
          <w:szCs w:val="20"/>
        </w:rPr>
      </w:pPr>
    </w:p>
    <w:p w14:paraId="1B59D91B">
      <w:pPr>
        <w:ind w:left="-284" w:firstLine="284"/>
        <w:jc w:val="both"/>
        <w:rPr>
          <w:rFonts w:ascii="Arial" w:hAnsi="Arial" w:cs="Arial" w:eastAsiaTheme="minorHAnsi"/>
          <w:sz w:val="20"/>
          <w:szCs w:val="20"/>
        </w:rPr>
      </w:pPr>
    </w:p>
    <w:p w14:paraId="3DA33782">
      <w:pPr>
        <w:ind w:left="-284" w:firstLine="284"/>
        <w:jc w:val="both"/>
        <w:rPr>
          <w:rFonts w:ascii="Arial" w:hAnsi="Arial" w:cs="Arial" w:eastAsiaTheme="minorHAnsi"/>
          <w:sz w:val="20"/>
          <w:szCs w:val="20"/>
        </w:rPr>
      </w:pPr>
    </w:p>
    <w:p w14:paraId="33A0341A">
      <w:pPr>
        <w:ind w:left="-284" w:firstLine="284"/>
        <w:jc w:val="both"/>
        <w:rPr>
          <w:rFonts w:ascii="Arial" w:hAnsi="Arial" w:cs="Arial" w:eastAsiaTheme="minorHAnsi"/>
          <w:sz w:val="20"/>
          <w:szCs w:val="20"/>
        </w:rPr>
      </w:pPr>
    </w:p>
    <w:p w14:paraId="5784EF91">
      <w:pPr>
        <w:ind w:left="-284" w:firstLine="284"/>
        <w:jc w:val="both"/>
        <w:rPr>
          <w:rFonts w:ascii="Arial" w:hAnsi="Arial" w:cs="Arial" w:eastAsiaTheme="minorHAnsi"/>
          <w:sz w:val="20"/>
          <w:szCs w:val="20"/>
        </w:rPr>
      </w:pPr>
    </w:p>
    <w:p w14:paraId="30F5583D">
      <w:pPr>
        <w:jc w:val="center"/>
        <w:rPr>
          <w:rFonts w:ascii="Arial" w:hAnsi="Arial" w:cs="Arial"/>
          <w:b/>
          <w:bCs/>
          <w:sz w:val="26"/>
          <w:szCs w:val="26"/>
        </w:rPr>
      </w:pPr>
    </w:p>
    <w:p w14:paraId="3703F79D">
      <w:pPr>
        <w:jc w:val="center"/>
        <w:rPr>
          <w:rFonts w:ascii="Arial" w:hAnsi="Arial" w:cs="Arial"/>
          <w:b/>
          <w:bCs/>
          <w:sz w:val="26"/>
          <w:szCs w:val="26"/>
        </w:rPr>
      </w:pPr>
      <w:r>
        <w:rPr>
          <w:rFonts w:ascii="Arial" w:hAnsi="Arial" w:cs="Arial"/>
          <w:b/>
          <w:bCs/>
          <w:sz w:val="26"/>
          <w:szCs w:val="26"/>
        </w:rPr>
        <w:t>ANEXO VII</w:t>
      </w:r>
    </w:p>
    <w:p w14:paraId="6CF60136">
      <w:pPr>
        <w:jc w:val="center"/>
        <w:rPr>
          <w:rFonts w:ascii="Arial" w:hAnsi="Arial" w:cs="Arial"/>
          <w:b/>
          <w:bCs/>
        </w:rPr>
      </w:pPr>
    </w:p>
    <w:p w14:paraId="3CC3EB75">
      <w:pPr>
        <w:jc w:val="center"/>
        <w:rPr>
          <w:rFonts w:hint="default" w:ascii="Arial" w:hAnsi="Arial" w:cs="Arial"/>
          <w:b/>
          <w:bCs/>
          <w:lang w:val="pt-BR"/>
        </w:rPr>
      </w:pPr>
      <w:r>
        <w:rPr>
          <w:rFonts w:ascii="Arial" w:hAnsi="Arial" w:cs="Arial"/>
          <w:b/>
          <w:bCs/>
        </w:rPr>
        <w:t xml:space="preserve">Processo Licitatório n° </w:t>
      </w:r>
      <w:r>
        <w:rPr>
          <w:rFonts w:hint="default" w:ascii="Arial" w:hAnsi="Arial" w:cs="Arial"/>
          <w:b/>
          <w:bCs/>
          <w:lang w:val="pt-BR"/>
        </w:rPr>
        <w:t>065/2025</w:t>
      </w:r>
    </w:p>
    <w:p w14:paraId="204D6E34">
      <w:pPr>
        <w:jc w:val="center"/>
        <w:rPr>
          <w:rFonts w:hint="default" w:ascii="Arial" w:hAnsi="Arial" w:cs="Arial"/>
          <w:b/>
          <w:bCs/>
          <w:lang w:val="pt-BR"/>
        </w:rPr>
      </w:pPr>
      <w:r>
        <w:rPr>
          <w:rFonts w:ascii="Arial" w:hAnsi="Arial" w:cs="Arial"/>
          <w:b/>
          <w:bCs/>
        </w:rPr>
        <w:t xml:space="preserve">Pregão Eletrônico n° </w:t>
      </w:r>
      <w:r>
        <w:rPr>
          <w:rFonts w:hint="default" w:ascii="Arial" w:hAnsi="Arial" w:cs="Arial"/>
          <w:b/>
          <w:bCs/>
          <w:lang w:val="pt-BR"/>
        </w:rPr>
        <w:t>036/2025</w:t>
      </w:r>
    </w:p>
    <w:p w14:paraId="14D951FA">
      <w:pPr>
        <w:jc w:val="center"/>
        <w:rPr>
          <w:rFonts w:hint="default" w:ascii="Arial" w:hAnsi="Arial" w:cs="Arial"/>
          <w:b/>
          <w:bCs/>
          <w:lang w:val="pt-BR"/>
        </w:rPr>
      </w:pPr>
      <w:r>
        <w:rPr>
          <w:rFonts w:ascii="Arial" w:hAnsi="Arial" w:cs="Arial"/>
          <w:b/>
          <w:bCs/>
        </w:rPr>
        <w:t xml:space="preserve">Registro de Preços n° </w:t>
      </w:r>
      <w:r>
        <w:rPr>
          <w:rFonts w:hint="default" w:ascii="Arial" w:hAnsi="Arial" w:cs="Arial"/>
          <w:b/>
          <w:bCs/>
          <w:lang w:val="pt-BR"/>
        </w:rPr>
        <w:t>034/2025</w:t>
      </w:r>
    </w:p>
    <w:p w14:paraId="5B6F9035">
      <w:pPr>
        <w:spacing w:line="200" w:lineRule="atLeast"/>
        <w:jc w:val="center"/>
        <w:rPr>
          <w:rFonts w:ascii="Garamond" w:hAnsi="Garamond"/>
          <w:b/>
          <w:lang w:eastAsia="ar-SA"/>
        </w:rPr>
      </w:pPr>
    </w:p>
    <w:p w14:paraId="5039FBF1">
      <w:pPr>
        <w:spacing w:line="200" w:lineRule="atLeast"/>
        <w:jc w:val="center"/>
        <w:rPr>
          <w:rFonts w:ascii="Garamond" w:hAnsi="Garamond"/>
          <w:b/>
          <w:lang w:eastAsia="ar-SA"/>
        </w:rPr>
      </w:pPr>
    </w:p>
    <w:p w14:paraId="45204A80">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5DC5DBFA">
      <w:pPr>
        <w:autoSpaceDE w:val="0"/>
        <w:spacing w:line="200" w:lineRule="atLeast"/>
        <w:jc w:val="center"/>
        <w:rPr>
          <w:rFonts w:ascii="Arial" w:hAnsi="Arial" w:cs="Arial"/>
          <w:b/>
          <w:bCs/>
          <w:sz w:val="20"/>
          <w:szCs w:val="20"/>
          <w:lang w:eastAsia="ar-SA"/>
        </w:rPr>
      </w:pPr>
    </w:p>
    <w:p w14:paraId="015E9787">
      <w:pPr>
        <w:autoSpaceDE w:val="0"/>
        <w:spacing w:line="200" w:lineRule="atLeast"/>
        <w:rPr>
          <w:rFonts w:ascii="Arial" w:hAnsi="Arial" w:cs="Arial"/>
          <w:b/>
          <w:bCs/>
          <w:sz w:val="20"/>
          <w:szCs w:val="20"/>
          <w:lang w:eastAsia="ar-SA"/>
        </w:rPr>
      </w:pPr>
    </w:p>
    <w:p w14:paraId="2C93C7CC">
      <w:pPr>
        <w:autoSpaceDE w:val="0"/>
        <w:spacing w:line="200" w:lineRule="atLeast"/>
        <w:rPr>
          <w:rFonts w:ascii="Arial" w:hAnsi="Arial" w:cs="Arial"/>
          <w:b/>
          <w:bCs/>
          <w:sz w:val="20"/>
          <w:szCs w:val="20"/>
          <w:lang w:eastAsia="ar-SA"/>
        </w:rPr>
      </w:pPr>
    </w:p>
    <w:p w14:paraId="65FB61DB">
      <w:pPr>
        <w:autoSpaceDE w:val="0"/>
        <w:spacing w:line="200" w:lineRule="atLeast"/>
        <w:rPr>
          <w:rFonts w:ascii="Arial" w:hAnsi="Arial" w:cs="Arial"/>
          <w:b/>
          <w:bCs/>
          <w:sz w:val="20"/>
          <w:szCs w:val="20"/>
          <w:lang w:eastAsia="ar-SA"/>
        </w:rPr>
      </w:pPr>
    </w:p>
    <w:p w14:paraId="217961A4">
      <w:pPr>
        <w:pStyle w:val="14"/>
        <w:ind w:firstLine="1134"/>
        <w:rPr>
          <w:rFonts w:ascii="Arial" w:hAnsi="Arial" w:cs="Arial"/>
          <w:b w:val="0"/>
          <w:bCs w:val="0"/>
          <w:sz w:val="20"/>
          <w:szCs w:val="20"/>
        </w:rPr>
      </w:pPr>
      <w:r>
        <w:rPr>
          <w:rFonts w:ascii="Arial" w:hAnsi="Arial" w:cs="Arial"/>
          <w:b w:val="0"/>
          <w:bCs w:val="0"/>
          <w:sz w:val="20"/>
          <w:szCs w:val="20"/>
        </w:rPr>
        <w:t>A Empresa _________________________________ inscrita no CNPJ sob  nº_________________________________, sediada (endereço completo), _______________________________________por seu representante abaixo assinado.</w:t>
      </w:r>
    </w:p>
    <w:p w14:paraId="1257F89B">
      <w:pPr>
        <w:pStyle w:val="14"/>
        <w:ind w:firstLine="1134"/>
        <w:rPr>
          <w:rFonts w:ascii="Arial" w:hAnsi="Arial" w:cs="Arial"/>
          <w:b w:val="0"/>
          <w:bCs w:val="0"/>
          <w:sz w:val="20"/>
          <w:szCs w:val="20"/>
        </w:rPr>
      </w:pPr>
    </w:p>
    <w:p w14:paraId="3AA3DE25">
      <w:pPr>
        <w:pStyle w:val="14"/>
        <w:ind w:firstLine="1134"/>
        <w:rPr>
          <w:rFonts w:ascii="Arial" w:hAnsi="Arial" w:cs="Arial"/>
          <w:b w:val="0"/>
          <w:bCs w:val="0"/>
          <w:color w:val="000000"/>
          <w:sz w:val="20"/>
          <w:szCs w:val="20"/>
        </w:rPr>
      </w:pPr>
      <w:r>
        <w:rPr>
          <w:rFonts w:ascii="Arial" w:hAnsi="Arial" w:cs="Arial"/>
          <w:b w:val="0"/>
          <w:bCs w:val="0"/>
          <w:sz w:val="20"/>
          <w:szCs w:val="20"/>
        </w:rPr>
        <w:t xml:space="preserve"> DECLARA, sob as penas</w:t>
      </w:r>
      <w:r>
        <w:rPr>
          <w:rFonts w:ascii="Arial" w:hAnsi="Arial" w:cs="Arial"/>
          <w:b w:val="0"/>
          <w:bCs w:val="0"/>
          <w:color w:val="000000"/>
          <w:sz w:val="20"/>
          <w:szCs w:val="20"/>
        </w:rPr>
        <w:t xml:space="preserve"> da lei, de que não possui em seu quadro de pessoal ou societário servidor do Poder Executivo Municipal nos termos do art. 9º, &amp; 1º, da Lei Federal nº 14.133/2021.</w:t>
      </w:r>
    </w:p>
    <w:p w14:paraId="1F1A9D7B">
      <w:pPr>
        <w:pStyle w:val="328"/>
        <w:spacing w:before="0" w:after="0"/>
        <w:jc w:val="center"/>
        <w:rPr>
          <w:rFonts w:ascii="Arial" w:hAnsi="Arial" w:cs="Arial"/>
          <w:sz w:val="20"/>
          <w:szCs w:val="20"/>
        </w:rPr>
      </w:pPr>
    </w:p>
    <w:p w14:paraId="295F0580">
      <w:pPr>
        <w:pStyle w:val="328"/>
        <w:spacing w:before="0" w:after="0"/>
        <w:jc w:val="center"/>
        <w:rPr>
          <w:rFonts w:ascii="Arial" w:hAnsi="Arial" w:cs="Arial"/>
          <w:sz w:val="20"/>
          <w:szCs w:val="20"/>
        </w:rPr>
      </w:pPr>
    </w:p>
    <w:p w14:paraId="3D5DDC3A">
      <w:pPr>
        <w:autoSpaceDE w:val="0"/>
        <w:spacing w:line="200" w:lineRule="atLeast"/>
        <w:rPr>
          <w:rFonts w:ascii="Arial" w:hAnsi="Arial" w:cs="Arial"/>
          <w:i/>
          <w:iCs/>
          <w:sz w:val="20"/>
          <w:szCs w:val="20"/>
          <w:lang w:eastAsia="ar-SA"/>
        </w:rPr>
      </w:pPr>
    </w:p>
    <w:p w14:paraId="41684AC8">
      <w:pPr>
        <w:pStyle w:val="328"/>
        <w:spacing w:before="0" w:after="0"/>
        <w:jc w:val="both"/>
        <w:rPr>
          <w:rFonts w:ascii="Arial" w:hAnsi="Arial" w:cs="Arial"/>
          <w:sz w:val="20"/>
          <w:szCs w:val="20"/>
        </w:rPr>
      </w:pPr>
      <w:r>
        <w:rPr>
          <w:rFonts w:ascii="Arial" w:hAnsi="Arial" w:cs="Arial"/>
          <w:sz w:val="20"/>
          <w:szCs w:val="20"/>
        </w:rPr>
        <w:t xml:space="preserve">Cataguases/MG, ________ de ________________ de </w:t>
      </w:r>
      <w:r>
        <w:rPr>
          <w:rFonts w:ascii="Arial" w:hAnsi="Arial" w:cs="Arial"/>
          <w:sz w:val="20"/>
          <w:szCs w:val="20"/>
          <w:lang w:val="pt-BR"/>
        </w:rPr>
        <w:t>2025</w:t>
      </w:r>
      <w:r>
        <w:rPr>
          <w:rFonts w:ascii="Arial" w:hAnsi="Arial" w:cs="Arial"/>
          <w:sz w:val="20"/>
          <w:szCs w:val="20"/>
        </w:rPr>
        <w:t>.</w:t>
      </w:r>
    </w:p>
    <w:p w14:paraId="7A34E5BF">
      <w:pPr>
        <w:pStyle w:val="328"/>
        <w:spacing w:before="0" w:after="0"/>
        <w:jc w:val="center"/>
        <w:rPr>
          <w:rFonts w:ascii="Arial" w:hAnsi="Arial" w:cs="Arial"/>
          <w:sz w:val="20"/>
          <w:szCs w:val="20"/>
        </w:rPr>
      </w:pPr>
    </w:p>
    <w:p w14:paraId="0B8FB96C">
      <w:pPr>
        <w:pStyle w:val="328"/>
        <w:spacing w:before="0" w:after="0"/>
        <w:jc w:val="both"/>
        <w:rPr>
          <w:rFonts w:ascii="Arial" w:hAnsi="Arial" w:cs="Arial"/>
          <w:sz w:val="20"/>
          <w:szCs w:val="20"/>
        </w:rPr>
      </w:pPr>
    </w:p>
    <w:p w14:paraId="79963E7D">
      <w:pPr>
        <w:pStyle w:val="328"/>
        <w:spacing w:before="0" w:after="0"/>
        <w:jc w:val="center"/>
        <w:rPr>
          <w:rFonts w:ascii="Arial" w:hAnsi="Arial" w:cs="Arial"/>
          <w:sz w:val="20"/>
          <w:szCs w:val="20"/>
        </w:rPr>
      </w:pPr>
    </w:p>
    <w:p w14:paraId="58EFC374">
      <w:pPr>
        <w:pStyle w:val="328"/>
        <w:spacing w:before="0" w:after="0"/>
        <w:jc w:val="center"/>
        <w:rPr>
          <w:rFonts w:ascii="Arial" w:hAnsi="Arial" w:cs="Arial"/>
          <w:sz w:val="20"/>
          <w:szCs w:val="20"/>
        </w:rPr>
      </w:pPr>
      <w:r>
        <w:rPr>
          <w:rFonts w:ascii="Arial" w:hAnsi="Arial" w:cs="Arial"/>
          <w:sz w:val="20"/>
          <w:szCs w:val="20"/>
        </w:rPr>
        <w:t>____________________________________</w:t>
      </w:r>
    </w:p>
    <w:p w14:paraId="64B87DEF">
      <w:pPr>
        <w:pStyle w:val="328"/>
        <w:spacing w:before="0" w:after="0"/>
        <w:jc w:val="center"/>
        <w:rPr>
          <w:rFonts w:ascii="Arial" w:hAnsi="Arial" w:cs="Arial"/>
          <w:sz w:val="20"/>
          <w:szCs w:val="20"/>
        </w:rPr>
      </w:pPr>
      <w:r>
        <w:rPr>
          <w:rFonts w:ascii="Arial" w:hAnsi="Arial" w:cs="Arial"/>
          <w:sz w:val="20"/>
          <w:szCs w:val="20"/>
        </w:rPr>
        <w:t>Ass. Responsável</w:t>
      </w:r>
    </w:p>
    <w:p w14:paraId="4AA30ECB">
      <w:pPr>
        <w:autoSpaceDE w:val="0"/>
        <w:spacing w:line="200" w:lineRule="atLeast"/>
        <w:rPr>
          <w:rFonts w:ascii="Arial" w:hAnsi="Arial" w:cs="Arial"/>
          <w:sz w:val="20"/>
          <w:szCs w:val="20"/>
          <w:lang w:eastAsia="ar-SA"/>
        </w:rPr>
      </w:pPr>
    </w:p>
    <w:p w14:paraId="67E54155">
      <w:pPr>
        <w:pStyle w:val="328"/>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2CCF0C67">
      <w:pPr>
        <w:autoSpaceDE w:val="0"/>
        <w:autoSpaceDN w:val="0"/>
        <w:adjustRightInd w:val="0"/>
        <w:rPr>
          <w:rFonts w:ascii="Arial" w:hAnsi="Arial" w:eastAsia="Calibri" w:cs="Arial"/>
          <w:color w:val="000000"/>
          <w:sz w:val="20"/>
          <w:szCs w:val="20"/>
          <w:lang w:eastAsia="en-US"/>
        </w:rPr>
      </w:pPr>
    </w:p>
    <w:p w14:paraId="70BF12A0">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7A54C039">
      <w:pPr>
        <w:ind w:left="-284" w:firstLine="284"/>
        <w:jc w:val="both"/>
        <w:rPr>
          <w:rFonts w:ascii="Arial" w:hAnsi="Arial" w:cs="Arial" w:eastAsiaTheme="minorHAnsi"/>
          <w:sz w:val="20"/>
          <w:szCs w:val="20"/>
        </w:rPr>
      </w:pPr>
    </w:p>
    <w:p w14:paraId="5160D7DC">
      <w:pPr>
        <w:ind w:left="-284" w:firstLine="284"/>
        <w:jc w:val="both"/>
        <w:rPr>
          <w:rFonts w:ascii="Arial" w:hAnsi="Arial" w:cs="Arial" w:eastAsiaTheme="minorHAnsi"/>
          <w:sz w:val="20"/>
          <w:szCs w:val="20"/>
        </w:rPr>
      </w:pPr>
    </w:p>
    <w:p w14:paraId="4A0FF8C7">
      <w:pPr>
        <w:ind w:left="-284" w:firstLine="284"/>
        <w:jc w:val="both"/>
        <w:rPr>
          <w:rFonts w:ascii="Arial" w:hAnsi="Arial" w:cs="Arial" w:eastAsiaTheme="minorHAnsi"/>
          <w:sz w:val="20"/>
          <w:szCs w:val="20"/>
        </w:rPr>
      </w:pPr>
    </w:p>
    <w:p w14:paraId="2E8DFAEA">
      <w:pPr>
        <w:ind w:left="-284" w:firstLine="284"/>
        <w:jc w:val="both"/>
        <w:rPr>
          <w:rFonts w:ascii="Arial" w:hAnsi="Arial" w:cs="Arial" w:eastAsiaTheme="minorHAnsi"/>
          <w:sz w:val="20"/>
          <w:szCs w:val="20"/>
        </w:rPr>
      </w:pPr>
    </w:p>
    <w:p w14:paraId="0B837FB9">
      <w:pPr>
        <w:ind w:left="-284" w:firstLine="284"/>
        <w:jc w:val="both"/>
        <w:rPr>
          <w:rFonts w:ascii="Arial" w:hAnsi="Arial" w:cs="Arial" w:eastAsiaTheme="minorHAnsi"/>
          <w:sz w:val="20"/>
          <w:szCs w:val="20"/>
        </w:rPr>
      </w:pPr>
    </w:p>
    <w:p w14:paraId="01B66EFC">
      <w:pPr>
        <w:ind w:left="-284" w:firstLine="284"/>
        <w:jc w:val="both"/>
        <w:rPr>
          <w:rFonts w:ascii="Arial" w:hAnsi="Arial" w:cs="Arial" w:eastAsiaTheme="minorHAnsi"/>
          <w:sz w:val="20"/>
          <w:szCs w:val="20"/>
        </w:rPr>
      </w:pPr>
    </w:p>
    <w:p w14:paraId="158C91E8">
      <w:pPr>
        <w:ind w:left="-284" w:firstLine="284"/>
        <w:jc w:val="both"/>
        <w:rPr>
          <w:rFonts w:ascii="Arial" w:hAnsi="Arial" w:cs="Arial" w:eastAsiaTheme="minorHAnsi"/>
          <w:sz w:val="20"/>
          <w:szCs w:val="20"/>
        </w:rPr>
      </w:pPr>
    </w:p>
    <w:p w14:paraId="0F5E896D">
      <w:pPr>
        <w:ind w:left="-284" w:firstLine="284"/>
        <w:jc w:val="both"/>
        <w:rPr>
          <w:rFonts w:ascii="Arial" w:hAnsi="Arial" w:cs="Arial" w:eastAsiaTheme="minorHAnsi"/>
          <w:sz w:val="20"/>
          <w:szCs w:val="20"/>
        </w:rPr>
      </w:pPr>
    </w:p>
    <w:p w14:paraId="37AD4E4C">
      <w:pPr>
        <w:ind w:left="-284" w:firstLine="284"/>
        <w:jc w:val="both"/>
        <w:rPr>
          <w:rFonts w:ascii="Arial" w:hAnsi="Arial" w:cs="Arial" w:eastAsiaTheme="minorHAnsi"/>
          <w:sz w:val="20"/>
          <w:szCs w:val="20"/>
        </w:rPr>
      </w:pPr>
    </w:p>
    <w:p w14:paraId="665CB537">
      <w:pPr>
        <w:ind w:left="-284" w:firstLine="284"/>
        <w:jc w:val="both"/>
        <w:rPr>
          <w:rFonts w:ascii="Arial" w:hAnsi="Arial" w:cs="Arial" w:eastAsiaTheme="minorHAnsi"/>
          <w:sz w:val="20"/>
          <w:szCs w:val="20"/>
        </w:rPr>
      </w:pPr>
    </w:p>
    <w:p w14:paraId="7DF0E4D8">
      <w:pPr>
        <w:ind w:left="-284" w:firstLine="284"/>
        <w:jc w:val="both"/>
        <w:rPr>
          <w:rFonts w:ascii="Arial" w:hAnsi="Arial" w:cs="Arial" w:eastAsiaTheme="minorHAnsi"/>
          <w:sz w:val="20"/>
          <w:szCs w:val="20"/>
        </w:rPr>
      </w:pPr>
    </w:p>
    <w:p w14:paraId="3FD64463">
      <w:pPr>
        <w:ind w:left="-284" w:firstLine="284"/>
        <w:jc w:val="both"/>
        <w:rPr>
          <w:rFonts w:ascii="Arial" w:hAnsi="Arial" w:cs="Arial" w:eastAsiaTheme="minorHAnsi"/>
          <w:sz w:val="20"/>
          <w:szCs w:val="20"/>
        </w:rPr>
      </w:pPr>
    </w:p>
    <w:p w14:paraId="6F440213">
      <w:pPr>
        <w:ind w:left="-284" w:firstLine="284"/>
        <w:jc w:val="both"/>
        <w:rPr>
          <w:rFonts w:ascii="Arial" w:hAnsi="Arial" w:cs="Arial" w:eastAsiaTheme="minorHAnsi"/>
          <w:sz w:val="20"/>
          <w:szCs w:val="20"/>
        </w:rPr>
      </w:pPr>
    </w:p>
    <w:p w14:paraId="24EE6723">
      <w:pPr>
        <w:ind w:left="-284" w:firstLine="284"/>
        <w:jc w:val="both"/>
        <w:rPr>
          <w:rFonts w:ascii="Arial" w:hAnsi="Arial" w:cs="Arial" w:eastAsiaTheme="minorHAnsi"/>
          <w:sz w:val="20"/>
          <w:szCs w:val="20"/>
        </w:rPr>
      </w:pPr>
    </w:p>
    <w:p w14:paraId="320FE417">
      <w:pPr>
        <w:ind w:left="-284" w:firstLine="284"/>
        <w:jc w:val="both"/>
        <w:rPr>
          <w:rFonts w:ascii="Arial" w:hAnsi="Arial" w:cs="Arial" w:eastAsiaTheme="minorHAnsi"/>
          <w:sz w:val="20"/>
          <w:szCs w:val="20"/>
        </w:rPr>
      </w:pPr>
    </w:p>
    <w:p w14:paraId="4EA306B6">
      <w:pPr>
        <w:ind w:left="-284" w:firstLine="284"/>
        <w:jc w:val="both"/>
        <w:rPr>
          <w:rFonts w:ascii="Arial" w:hAnsi="Arial" w:cs="Arial" w:eastAsiaTheme="minorHAnsi"/>
          <w:sz w:val="20"/>
          <w:szCs w:val="20"/>
        </w:rPr>
      </w:pPr>
    </w:p>
    <w:p w14:paraId="7F522585">
      <w:pPr>
        <w:ind w:left="-284" w:firstLine="284"/>
        <w:jc w:val="both"/>
        <w:rPr>
          <w:rFonts w:ascii="Arial" w:hAnsi="Arial" w:cs="Arial" w:eastAsiaTheme="minorHAnsi"/>
          <w:sz w:val="20"/>
          <w:szCs w:val="20"/>
        </w:rPr>
      </w:pPr>
    </w:p>
    <w:p w14:paraId="59F03BB8">
      <w:pPr>
        <w:ind w:left="-284" w:firstLine="284"/>
        <w:jc w:val="both"/>
        <w:rPr>
          <w:rFonts w:ascii="Arial" w:hAnsi="Arial" w:cs="Arial" w:eastAsiaTheme="minorHAnsi"/>
          <w:sz w:val="20"/>
          <w:szCs w:val="20"/>
        </w:rPr>
      </w:pPr>
    </w:p>
    <w:p w14:paraId="7C1A30F7">
      <w:pPr>
        <w:ind w:left="-284" w:firstLine="284"/>
        <w:jc w:val="both"/>
        <w:rPr>
          <w:rFonts w:ascii="Arial" w:hAnsi="Arial" w:cs="Arial" w:eastAsiaTheme="minorHAnsi"/>
          <w:sz w:val="20"/>
          <w:szCs w:val="20"/>
        </w:rPr>
      </w:pPr>
    </w:p>
    <w:p w14:paraId="63967862">
      <w:pPr>
        <w:ind w:left="-284" w:firstLine="284"/>
        <w:jc w:val="both"/>
        <w:rPr>
          <w:rFonts w:ascii="Arial" w:hAnsi="Arial" w:cs="Arial" w:eastAsiaTheme="minorHAnsi"/>
          <w:sz w:val="20"/>
          <w:szCs w:val="20"/>
        </w:rPr>
      </w:pPr>
    </w:p>
    <w:p w14:paraId="53FAF705">
      <w:pPr>
        <w:ind w:left="-284" w:firstLine="284"/>
        <w:jc w:val="both"/>
        <w:rPr>
          <w:rFonts w:ascii="Arial" w:hAnsi="Arial" w:cs="Arial" w:eastAsiaTheme="minorHAnsi"/>
          <w:sz w:val="20"/>
          <w:szCs w:val="20"/>
        </w:rPr>
      </w:pPr>
    </w:p>
    <w:p w14:paraId="1E6595F7">
      <w:pPr>
        <w:ind w:left="-284" w:firstLine="284"/>
        <w:jc w:val="both"/>
        <w:rPr>
          <w:rFonts w:ascii="Arial" w:hAnsi="Arial" w:cs="Arial" w:eastAsiaTheme="minorHAnsi"/>
          <w:sz w:val="20"/>
          <w:szCs w:val="20"/>
        </w:rPr>
      </w:pPr>
    </w:p>
    <w:p w14:paraId="5296E572">
      <w:pPr>
        <w:ind w:left="-284" w:firstLine="284"/>
        <w:jc w:val="both"/>
        <w:rPr>
          <w:rFonts w:ascii="Arial" w:hAnsi="Arial" w:cs="Arial" w:eastAsiaTheme="minorHAnsi"/>
          <w:sz w:val="20"/>
          <w:szCs w:val="20"/>
        </w:rPr>
      </w:pPr>
    </w:p>
    <w:p w14:paraId="3A3A2481">
      <w:pPr>
        <w:ind w:left="-284" w:firstLine="284"/>
        <w:jc w:val="both"/>
        <w:rPr>
          <w:rFonts w:ascii="Arial" w:hAnsi="Arial" w:cs="Arial" w:eastAsiaTheme="minorHAnsi"/>
          <w:sz w:val="20"/>
          <w:szCs w:val="20"/>
        </w:rPr>
      </w:pPr>
    </w:p>
    <w:p w14:paraId="02F4D8D7">
      <w:pPr>
        <w:ind w:left="-284" w:firstLine="284"/>
        <w:jc w:val="both"/>
        <w:rPr>
          <w:rFonts w:ascii="Arial" w:hAnsi="Arial" w:cs="Arial" w:eastAsiaTheme="minorHAnsi"/>
          <w:sz w:val="20"/>
          <w:szCs w:val="20"/>
        </w:rPr>
      </w:pPr>
    </w:p>
    <w:p w14:paraId="73FD2E00">
      <w:pPr>
        <w:jc w:val="both"/>
        <w:rPr>
          <w:rFonts w:ascii="Arial" w:hAnsi="Arial" w:cs="Arial" w:eastAsiaTheme="minorHAnsi"/>
          <w:sz w:val="20"/>
          <w:szCs w:val="20"/>
        </w:rPr>
      </w:pPr>
    </w:p>
    <w:p w14:paraId="0D4D75E1">
      <w:pPr>
        <w:jc w:val="both"/>
        <w:rPr>
          <w:rFonts w:ascii="Arial" w:hAnsi="Arial" w:cs="Arial" w:eastAsiaTheme="minorHAnsi"/>
          <w:sz w:val="20"/>
          <w:szCs w:val="20"/>
        </w:rPr>
      </w:pPr>
    </w:p>
    <w:p w14:paraId="3581E96E">
      <w:pPr>
        <w:jc w:val="center"/>
        <w:rPr>
          <w:rFonts w:ascii="Arial" w:hAnsi="Arial" w:cs="Arial"/>
          <w:b/>
          <w:bCs/>
          <w:sz w:val="26"/>
          <w:szCs w:val="26"/>
        </w:rPr>
      </w:pPr>
    </w:p>
    <w:p w14:paraId="2E8D5218">
      <w:pPr>
        <w:jc w:val="center"/>
        <w:rPr>
          <w:rFonts w:ascii="Arial" w:hAnsi="Arial" w:cs="Arial"/>
          <w:b/>
          <w:bCs/>
          <w:sz w:val="26"/>
          <w:szCs w:val="26"/>
        </w:rPr>
      </w:pPr>
      <w:r>
        <w:rPr>
          <w:rFonts w:ascii="Arial" w:hAnsi="Arial" w:cs="Arial"/>
          <w:b/>
          <w:bCs/>
          <w:sz w:val="26"/>
          <w:szCs w:val="26"/>
        </w:rPr>
        <w:t>ANEXO VIII</w:t>
      </w:r>
    </w:p>
    <w:p w14:paraId="04454B8F">
      <w:pPr>
        <w:jc w:val="center"/>
        <w:rPr>
          <w:rFonts w:ascii="Arial" w:hAnsi="Arial" w:cs="Arial"/>
          <w:b/>
          <w:bCs/>
        </w:rPr>
      </w:pPr>
    </w:p>
    <w:p w14:paraId="2ED0A67A">
      <w:pPr>
        <w:jc w:val="center"/>
        <w:rPr>
          <w:rFonts w:hint="default" w:ascii="Arial" w:hAnsi="Arial" w:cs="Arial"/>
          <w:b/>
          <w:bCs/>
          <w:lang w:val="pt-BR"/>
        </w:rPr>
      </w:pPr>
      <w:r>
        <w:rPr>
          <w:rFonts w:ascii="Arial" w:hAnsi="Arial" w:cs="Arial"/>
          <w:b/>
          <w:bCs/>
        </w:rPr>
        <w:t xml:space="preserve">Processo Licitatório n° </w:t>
      </w:r>
      <w:r>
        <w:rPr>
          <w:rFonts w:hint="default" w:ascii="Arial" w:hAnsi="Arial" w:cs="Arial"/>
          <w:b/>
          <w:bCs/>
          <w:lang w:val="pt-BR"/>
        </w:rPr>
        <w:t>065/2025</w:t>
      </w:r>
    </w:p>
    <w:p w14:paraId="5B905A6A">
      <w:pPr>
        <w:jc w:val="center"/>
        <w:rPr>
          <w:rFonts w:hint="default" w:ascii="Arial" w:hAnsi="Arial" w:cs="Arial"/>
          <w:b/>
          <w:bCs/>
          <w:lang w:val="pt-BR"/>
        </w:rPr>
      </w:pPr>
      <w:r>
        <w:rPr>
          <w:rFonts w:ascii="Arial" w:hAnsi="Arial" w:cs="Arial"/>
          <w:b/>
          <w:bCs/>
        </w:rPr>
        <w:t xml:space="preserve">Pregão Eletrônico n° </w:t>
      </w:r>
      <w:r>
        <w:rPr>
          <w:rFonts w:hint="default" w:ascii="Arial" w:hAnsi="Arial" w:cs="Arial"/>
          <w:b/>
          <w:bCs/>
          <w:lang w:val="pt-BR"/>
        </w:rPr>
        <w:t>036/2025</w:t>
      </w:r>
    </w:p>
    <w:p w14:paraId="53C35B5F">
      <w:pPr>
        <w:jc w:val="center"/>
        <w:rPr>
          <w:rFonts w:hint="default" w:ascii="Arial" w:hAnsi="Arial" w:cs="Arial"/>
          <w:b/>
          <w:bCs/>
          <w:lang w:val="pt-BR"/>
        </w:rPr>
      </w:pPr>
      <w:r>
        <w:rPr>
          <w:rFonts w:ascii="Arial" w:hAnsi="Arial" w:cs="Arial"/>
          <w:b/>
          <w:bCs/>
        </w:rPr>
        <w:t xml:space="preserve">Registro de Preços n° </w:t>
      </w:r>
      <w:r>
        <w:rPr>
          <w:rFonts w:hint="default" w:ascii="Arial" w:hAnsi="Arial" w:cs="Arial"/>
          <w:b/>
          <w:bCs/>
          <w:lang w:val="pt-BR"/>
        </w:rPr>
        <w:t>034/2025</w:t>
      </w:r>
    </w:p>
    <w:p w14:paraId="78161198">
      <w:pPr>
        <w:spacing w:line="200" w:lineRule="atLeast"/>
        <w:jc w:val="center"/>
        <w:rPr>
          <w:rFonts w:ascii="Garamond" w:hAnsi="Garamond"/>
          <w:b/>
          <w:lang w:eastAsia="ar-SA"/>
        </w:rPr>
      </w:pPr>
    </w:p>
    <w:p w14:paraId="70A58F6F">
      <w:pPr>
        <w:spacing w:line="200" w:lineRule="atLeast"/>
        <w:jc w:val="center"/>
        <w:rPr>
          <w:rFonts w:ascii="Garamond" w:hAnsi="Garamond"/>
          <w:b/>
          <w:lang w:eastAsia="ar-SA"/>
        </w:rPr>
      </w:pPr>
    </w:p>
    <w:p w14:paraId="454B1532">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0CAB243B">
      <w:pPr>
        <w:autoSpaceDE w:val="0"/>
        <w:spacing w:line="200" w:lineRule="atLeast"/>
        <w:jc w:val="center"/>
        <w:rPr>
          <w:rFonts w:ascii="Arial" w:hAnsi="Arial" w:cs="Arial"/>
          <w:b/>
          <w:bCs/>
          <w:sz w:val="20"/>
          <w:szCs w:val="20"/>
          <w:lang w:eastAsia="ar-SA"/>
        </w:rPr>
      </w:pPr>
    </w:p>
    <w:p w14:paraId="400CB4AE">
      <w:pPr>
        <w:autoSpaceDE w:val="0"/>
        <w:spacing w:line="200" w:lineRule="atLeast"/>
        <w:rPr>
          <w:rFonts w:ascii="Arial" w:hAnsi="Arial" w:cs="Arial"/>
          <w:b/>
          <w:bCs/>
          <w:sz w:val="20"/>
          <w:szCs w:val="20"/>
          <w:lang w:eastAsia="ar-SA"/>
        </w:rPr>
      </w:pPr>
    </w:p>
    <w:p w14:paraId="02384ACA">
      <w:pPr>
        <w:autoSpaceDE w:val="0"/>
        <w:spacing w:line="200" w:lineRule="atLeast"/>
        <w:rPr>
          <w:rFonts w:ascii="Arial" w:hAnsi="Arial" w:cs="Arial"/>
          <w:b/>
          <w:bCs/>
          <w:sz w:val="20"/>
          <w:szCs w:val="20"/>
          <w:lang w:eastAsia="ar-SA"/>
        </w:rPr>
      </w:pPr>
    </w:p>
    <w:p w14:paraId="746120BB">
      <w:pPr>
        <w:autoSpaceDE w:val="0"/>
        <w:spacing w:line="200" w:lineRule="atLeast"/>
        <w:rPr>
          <w:rFonts w:ascii="Arial" w:hAnsi="Arial" w:cs="Arial"/>
          <w:b/>
          <w:bCs/>
          <w:sz w:val="20"/>
          <w:szCs w:val="20"/>
          <w:lang w:eastAsia="ar-SA"/>
        </w:rPr>
      </w:pPr>
    </w:p>
    <w:p w14:paraId="51190D80">
      <w:pPr>
        <w:pStyle w:val="14"/>
        <w:ind w:firstLine="1134"/>
        <w:rPr>
          <w:rFonts w:ascii="Arial" w:hAnsi="Arial" w:cs="Arial"/>
          <w:b w:val="0"/>
          <w:bCs w:val="0"/>
          <w:sz w:val="20"/>
          <w:szCs w:val="20"/>
        </w:rPr>
      </w:pPr>
      <w:r>
        <w:rPr>
          <w:rFonts w:ascii="Arial" w:hAnsi="Arial" w:cs="Arial"/>
          <w:b w:val="0"/>
          <w:bCs w:val="0"/>
          <w:sz w:val="20"/>
          <w:szCs w:val="20"/>
        </w:rPr>
        <w:t>A Empresa _________________________________ inscrita no CNPJ sob  nº_________________________________, sediada (endereço completo), _______________________________________por seu representante abaixo assinado.</w:t>
      </w:r>
    </w:p>
    <w:p w14:paraId="7A9F9EB9">
      <w:pPr>
        <w:autoSpaceDE w:val="0"/>
        <w:spacing w:line="200" w:lineRule="atLeast"/>
        <w:rPr>
          <w:rFonts w:ascii="Arial" w:hAnsi="Arial" w:cs="Arial"/>
          <w:sz w:val="20"/>
          <w:szCs w:val="20"/>
          <w:lang w:eastAsia="ar-SA"/>
        </w:rPr>
      </w:pPr>
      <w:r>
        <w:rPr>
          <w:rFonts w:ascii="Arial" w:hAnsi="Arial" w:cs="Arial"/>
          <w:sz w:val="20"/>
          <w:szCs w:val="20"/>
          <w:lang w:eastAsia="ar-SA"/>
        </w:rPr>
        <w:t xml:space="preserve">                                    </w:t>
      </w:r>
    </w:p>
    <w:p w14:paraId="63CD2773">
      <w:pPr>
        <w:pStyle w:val="14"/>
        <w:ind w:firstLine="1134"/>
        <w:rPr>
          <w:rFonts w:ascii="Arial" w:hAnsi="Arial" w:cs="Arial"/>
          <w:b w:val="0"/>
          <w:bCs w:val="0"/>
          <w:color w:val="000000"/>
          <w:sz w:val="20"/>
          <w:szCs w:val="20"/>
        </w:rPr>
      </w:pPr>
      <w:r>
        <w:rPr>
          <w:rFonts w:ascii="Arial" w:hAnsi="Arial" w:cs="Arial"/>
          <w:b w:val="0"/>
          <w:bCs w:val="0"/>
          <w:sz w:val="20"/>
          <w:szCs w:val="20"/>
          <w:lang w:eastAsia="ar-SA"/>
        </w:rPr>
        <w:t xml:space="preserve"> DECLARA, sob as penas da Lei, que </w:t>
      </w:r>
      <w:r>
        <w:rPr>
          <w:rFonts w:ascii="Arial" w:hAnsi="Arial" w:cs="Arial"/>
          <w:b w:val="0"/>
          <w:bCs w:val="0"/>
          <w:sz w:val="20"/>
          <w:szCs w:val="20"/>
        </w:rPr>
        <w:t xml:space="preserve">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Arial" w:hAnsi="Arial" w:cs="Arial"/>
          <w:b w:val="0"/>
          <w:bCs w:val="0"/>
          <w:color w:val="000000"/>
          <w:sz w:val="20"/>
          <w:szCs w:val="20"/>
        </w:rPr>
        <w:t>nos termos do art. 9º, &amp; 1º, da Lei Federal nº 14.133/2021.</w:t>
      </w:r>
    </w:p>
    <w:p w14:paraId="68F3675F">
      <w:pPr>
        <w:autoSpaceDE w:val="0"/>
        <w:spacing w:line="200" w:lineRule="atLeast"/>
        <w:ind w:firstLine="1134"/>
        <w:jc w:val="both"/>
        <w:rPr>
          <w:rFonts w:ascii="Arial" w:hAnsi="Arial" w:cs="Arial"/>
          <w:sz w:val="20"/>
          <w:szCs w:val="20"/>
          <w:lang w:eastAsia="ar-SA"/>
        </w:rPr>
      </w:pPr>
    </w:p>
    <w:p w14:paraId="5D0B9809">
      <w:pPr>
        <w:pStyle w:val="328"/>
        <w:spacing w:before="0" w:after="0"/>
        <w:jc w:val="center"/>
        <w:rPr>
          <w:rFonts w:ascii="Arial" w:hAnsi="Arial" w:cs="Arial"/>
          <w:sz w:val="20"/>
          <w:szCs w:val="20"/>
        </w:rPr>
      </w:pPr>
    </w:p>
    <w:p w14:paraId="3E3606FE">
      <w:pPr>
        <w:autoSpaceDE w:val="0"/>
        <w:spacing w:line="200" w:lineRule="atLeast"/>
        <w:rPr>
          <w:rFonts w:ascii="Arial" w:hAnsi="Arial" w:cs="Arial"/>
          <w:i/>
          <w:iCs/>
          <w:sz w:val="20"/>
          <w:szCs w:val="20"/>
          <w:lang w:eastAsia="ar-SA"/>
        </w:rPr>
      </w:pPr>
    </w:p>
    <w:p w14:paraId="308C907A">
      <w:pPr>
        <w:pStyle w:val="328"/>
        <w:spacing w:before="0" w:after="0"/>
        <w:jc w:val="both"/>
        <w:rPr>
          <w:rFonts w:ascii="Arial" w:hAnsi="Arial" w:cs="Arial"/>
          <w:sz w:val="20"/>
          <w:szCs w:val="20"/>
        </w:rPr>
      </w:pPr>
      <w:r>
        <w:rPr>
          <w:rFonts w:ascii="Arial" w:hAnsi="Arial" w:cs="Arial"/>
          <w:sz w:val="20"/>
          <w:szCs w:val="20"/>
        </w:rPr>
        <w:t xml:space="preserve">Cataguases/MG, ________ de ________________ de </w:t>
      </w:r>
      <w:r>
        <w:rPr>
          <w:rFonts w:ascii="Arial" w:hAnsi="Arial" w:cs="Arial"/>
          <w:sz w:val="20"/>
          <w:szCs w:val="20"/>
          <w:lang w:val="pt-BR"/>
        </w:rPr>
        <w:t>2025</w:t>
      </w:r>
      <w:r>
        <w:rPr>
          <w:rFonts w:ascii="Arial" w:hAnsi="Arial" w:cs="Arial"/>
          <w:sz w:val="20"/>
          <w:szCs w:val="20"/>
        </w:rPr>
        <w:t>.</w:t>
      </w:r>
    </w:p>
    <w:p w14:paraId="79CB18CC">
      <w:pPr>
        <w:pStyle w:val="328"/>
        <w:spacing w:before="0" w:after="0"/>
        <w:jc w:val="center"/>
        <w:rPr>
          <w:rFonts w:ascii="Arial" w:hAnsi="Arial" w:cs="Arial"/>
          <w:sz w:val="20"/>
          <w:szCs w:val="20"/>
        </w:rPr>
      </w:pPr>
    </w:p>
    <w:p w14:paraId="1000AA66">
      <w:pPr>
        <w:pStyle w:val="328"/>
        <w:spacing w:before="0" w:after="0"/>
        <w:jc w:val="center"/>
        <w:rPr>
          <w:rFonts w:ascii="Arial" w:hAnsi="Arial" w:cs="Arial"/>
          <w:sz w:val="20"/>
          <w:szCs w:val="20"/>
        </w:rPr>
      </w:pPr>
    </w:p>
    <w:p w14:paraId="3B7DB550">
      <w:pPr>
        <w:pStyle w:val="328"/>
        <w:spacing w:before="0" w:after="0"/>
        <w:jc w:val="both"/>
        <w:rPr>
          <w:rFonts w:ascii="Arial" w:hAnsi="Arial" w:cs="Arial"/>
          <w:sz w:val="20"/>
          <w:szCs w:val="20"/>
        </w:rPr>
      </w:pPr>
    </w:p>
    <w:p w14:paraId="3C5A056D">
      <w:pPr>
        <w:pStyle w:val="328"/>
        <w:spacing w:before="0" w:after="0"/>
        <w:jc w:val="center"/>
        <w:rPr>
          <w:rFonts w:ascii="Arial" w:hAnsi="Arial" w:cs="Arial"/>
          <w:sz w:val="20"/>
          <w:szCs w:val="20"/>
        </w:rPr>
      </w:pPr>
    </w:p>
    <w:p w14:paraId="70674134">
      <w:pPr>
        <w:pStyle w:val="328"/>
        <w:spacing w:before="0" w:after="0"/>
        <w:jc w:val="center"/>
        <w:rPr>
          <w:rFonts w:ascii="Arial" w:hAnsi="Arial" w:cs="Arial"/>
          <w:sz w:val="20"/>
          <w:szCs w:val="20"/>
        </w:rPr>
      </w:pPr>
      <w:r>
        <w:rPr>
          <w:rFonts w:ascii="Arial" w:hAnsi="Arial" w:cs="Arial"/>
          <w:sz w:val="20"/>
          <w:szCs w:val="20"/>
        </w:rPr>
        <w:t>____________________________________</w:t>
      </w:r>
    </w:p>
    <w:p w14:paraId="7E3E3DD9">
      <w:pPr>
        <w:pStyle w:val="328"/>
        <w:spacing w:before="0" w:after="0"/>
        <w:jc w:val="center"/>
        <w:rPr>
          <w:rFonts w:ascii="Arial" w:hAnsi="Arial" w:cs="Arial"/>
          <w:sz w:val="20"/>
          <w:szCs w:val="20"/>
        </w:rPr>
      </w:pPr>
      <w:r>
        <w:rPr>
          <w:rFonts w:ascii="Arial" w:hAnsi="Arial" w:cs="Arial"/>
          <w:sz w:val="20"/>
          <w:szCs w:val="20"/>
        </w:rPr>
        <w:t>Ass. Responsável</w:t>
      </w:r>
    </w:p>
    <w:p w14:paraId="4A3F4CBC">
      <w:pPr>
        <w:autoSpaceDE w:val="0"/>
        <w:spacing w:line="200" w:lineRule="atLeast"/>
        <w:rPr>
          <w:rFonts w:ascii="Arial" w:hAnsi="Arial" w:cs="Arial"/>
          <w:sz w:val="20"/>
          <w:szCs w:val="20"/>
          <w:lang w:eastAsia="ar-SA"/>
        </w:rPr>
      </w:pPr>
    </w:p>
    <w:p w14:paraId="60E6CF16">
      <w:pPr>
        <w:pStyle w:val="328"/>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4C8B0CF6">
      <w:pPr>
        <w:autoSpaceDE w:val="0"/>
        <w:autoSpaceDN w:val="0"/>
        <w:adjustRightInd w:val="0"/>
        <w:rPr>
          <w:rFonts w:ascii="Arial" w:hAnsi="Arial" w:eastAsia="Calibri" w:cs="Arial"/>
          <w:color w:val="000000"/>
          <w:sz w:val="20"/>
          <w:szCs w:val="20"/>
          <w:lang w:eastAsia="en-US"/>
        </w:rPr>
      </w:pPr>
    </w:p>
    <w:p w14:paraId="166C4E7E">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5204805E">
      <w:pPr>
        <w:ind w:left="-284" w:firstLine="284"/>
        <w:jc w:val="both"/>
        <w:rPr>
          <w:rFonts w:ascii="Arial" w:hAnsi="Arial" w:cs="Arial" w:eastAsiaTheme="minorHAnsi"/>
          <w:sz w:val="20"/>
          <w:szCs w:val="20"/>
        </w:rPr>
      </w:pPr>
    </w:p>
    <w:p w14:paraId="4BCCB68A">
      <w:pPr>
        <w:ind w:left="-284" w:firstLine="284"/>
        <w:jc w:val="both"/>
        <w:rPr>
          <w:rFonts w:ascii="Arial" w:hAnsi="Arial" w:cs="Arial" w:eastAsiaTheme="minorHAnsi"/>
          <w:sz w:val="20"/>
          <w:szCs w:val="20"/>
        </w:rPr>
      </w:pPr>
    </w:p>
    <w:p w14:paraId="4B4B5C5C">
      <w:pPr>
        <w:ind w:left="-284" w:firstLine="284"/>
        <w:jc w:val="both"/>
        <w:rPr>
          <w:rFonts w:ascii="Arial" w:hAnsi="Arial" w:cs="Arial" w:eastAsiaTheme="minorHAnsi"/>
          <w:sz w:val="20"/>
          <w:szCs w:val="20"/>
        </w:rPr>
      </w:pPr>
    </w:p>
    <w:p w14:paraId="1B9772BE">
      <w:pPr>
        <w:ind w:left="-284" w:firstLine="284"/>
        <w:jc w:val="both"/>
        <w:rPr>
          <w:rFonts w:ascii="Arial" w:hAnsi="Arial" w:cs="Arial" w:eastAsiaTheme="minorHAnsi"/>
          <w:sz w:val="20"/>
          <w:szCs w:val="20"/>
        </w:rPr>
      </w:pPr>
    </w:p>
    <w:p w14:paraId="3D8036CB">
      <w:pPr>
        <w:ind w:left="-284" w:firstLine="284"/>
        <w:jc w:val="both"/>
        <w:rPr>
          <w:rFonts w:ascii="Arial" w:hAnsi="Arial" w:cs="Arial" w:eastAsiaTheme="minorHAnsi"/>
          <w:sz w:val="20"/>
          <w:szCs w:val="20"/>
        </w:rPr>
      </w:pPr>
    </w:p>
    <w:p w14:paraId="4F26B422">
      <w:pPr>
        <w:ind w:left="-284" w:firstLine="284"/>
        <w:jc w:val="both"/>
        <w:rPr>
          <w:rFonts w:ascii="Arial" w:hAnsi="Arial" w:cs="Arial" w:eastAsiaTheme="minorHAnsi"/>
          <w:sz w:val="20"/>
          <w:szCs w:val="20"/>
        </w:rPr>
      </w:pPr>
    </w:p>
    <w:p w14:paraId="2A09E1CE">
      <w:pPr>
        <w:ind w:left="-284" w:firstLine="284"/>
        <w:jc w:val="both"/>
        <w:rPr>
          <w:rFonts w:ascii="Arial" w:hAnsi="Arial" w:cs="Arial" w:eastAsiaTheme="minorHAnsi"/>
          <w:sz w:val="20"/>
          <w:szCs w:val="20"/>
        </w:rPr>
      </w:pPr>
    </w:p>
    <w:p w14:paraId="0DD80204">
      <w:pPr>
        <w:ind w:left="-284" w:firstLine="284"/>
        <w:jc w:val="both"/>
        <w:rPr>
          <w:rFonts w:ascii="Arial" w:hAnsi="Arial" w:cs="Arial" w:eastAsiaTheme="minorHAnsi"/>
          <w:sz w:val="20"/>
          <w:szCs w:val="20"/>
        </w:rPr>
      </w:pPr>
    </w:p>
    <w:p w14:paraId="51483715">
      <w:pPr>
        <w:ind w:left="-284" w:firstLine="284"/>
        <w:jc w:val="both"/>
        <w:rPr>
          <w:rFonts w:ascii="Arial" w:hAnsi="Arial" w:cs="Arial" w:eastAsiaTheme="minorHAnsi"/>
          <w:sz w:val="20"/>
          <w:szCs w:val="20"/>
        </w:rPr>
      </w:pPr>
    </w:p>
    <w:p w14:paraId="6398E6E1">
      <w:pPr>
        <w:ind w:left="-284" w:firstLine="284"/>
        <w:jc w:val="both"/>
        <w:rPr>
          <w:rFonts w:ascii="Arial" w:hAnsi="Arial" w:cs="Arial" w:eastAsiaTheme="minorHAnsi"/>
          <w:sz w:val="20"/>
          <w:szCs w:val="20"/>
        </w:rPr>
      </w:pPr>
    </w:p>
    <w:p w14:paraId="79D9D1BF">
      <w:pPr>
        <w:ind w:left="-284" w:firstLine="284"/>
        <w:jc w:val="both"/>
        <w:rPr>
          <w:rFonts w:ascii="Arial" w:hAnsi="Arial" w:cs="Arial" w:eastAsiaTheme="minorHAnsi"/>
          <w:sz w:val="20"/>
          <w:szCs w:val="20"/>
        </w:rPr>
      </w:pPr>
    </w:p>
    <w:p w14:paraId="5619BC91">
      <w:pPr>
        <w:ind w:left="-284" w:firstLine="284"/>
        <w:jc w:val="both"/>
        <w:rPr>
          <w:rFonts w:ascii="Arial" w:hAnsi="Arial" w:cs="Arial" w:eastAsiaTheme="minorHAnsi"/>
          <w:sz w:val="20"/>
          <w:szCs w:val="20"/>
        </w:rPr>
      </w:pPr>
    </w:p>
    <w:p w14:paraId="2B006CBC">
      <w:pPr>
        <w:ind w:left="-284" w:firstLine="284"/>
        <w:jc w:val="both"/>
        <w:rPr>
          <w:rFonts w:ascii="Arial" w:hAnsi="Arial" w:cs="Arial" w:eastAsiaTheme="minorHAnsi"/>
          <w:sz w:val="20"/>
          <w:szCs w:val="20"/>
        </w:rPr>
      </w:pPr>
    </w:p>
    <w:p w14:paraId="2CCEE438">
      <w:pPr>
        <w:ind w:left="-284" w:firstLine="284"/>
        <w:jc w:val="both"/>
        <w:rPr>
          <w:rFonts w:ascii="Arial" w:hAnsi="Arial" w:cs="Arial" w:eastAsiaTheme="minorHAnsi"/>
          <w:sz w:val="20"/>
          <w:szCs w:val="20"/>
        </w:rPr>
      </w:pPr>
    </w:p>
    <w:p w14:paraId="561793AF">
      <w:pPr>
        <w:ind w:left="-284" w:firstLine="284"/>
        <w:jc w:val="both"/>
        <w:rPr>
          <w:rFonts w:ascii="Arial" w:hAnsi="Arial" w:cs="Arial" w:eastAsiaTheme="minorHAnsi"/>
          <w:sz w:val="20"/>
          <w:szCs w:val="20"/>
        </w:rPr>
      </w:pPr>
    </w:p>
    <w:p w14:paraId="55022CE4">
      <w:pPr>
        <w:ind w:left="-284" w:firstLine="284"/>
        <w:jc w:val="both"/>
        <w:rPr>
          <w:rFonts w:ascii="Arial" w:hAnsi="Arial" w:cs="Arial" w:eastAsiaTheme="minorHAnsi"/>
          <w:sz w:val="20"/>
          <w:szCs w:val="20"/>
        </w:rPr>
      </w:pPr>
    </w:p>
    <w:p w14:paraId="6AD7EA58">
      <w:pPr>
        <w:ind w:left="-284" w:firstLine="284"/>
        <w:jc w:val="both"/>
        <w:rPr>
          <w:rFonts w:ascii="Arial" w:hAnsi="Arial" w:cs="Arial" w:eastAsiaTheme="minorHAnsi"/>
          <w:sz w:val="20"/>
          <w:szCs w:val="20"/>
        </w:rPr>
      </w:pPr>
    </w:p>
    <w:p w14:paraId="11154BEE">
      <w:pPr>
        <w:ind w:left="-284" w:firstLine="284"/>
        <w:jc w:val="both"/>
        <w:rPr>
          <w:rFonts w:ascii="Arial" w:hAnsi="Arial" w:cs="Arial" w:eastAsiaTheme="minorHAnsi"/>
          <w:sz w:val="20"/>
          <w:szCs w:val="20"/>
        </w:rPr>
      </w:pPr>
    </w:p>
    <w:p w14:paraId="0D0A3358">
      <w:pPr>
        <w:ind w:left="-284" w:firstLine="284"/>
        <w:jc w:val="both"/>
        <w:rPr>
          <w:rFonts w:ascii="Arial" w:hAnsi="Arial" w:cs="Arial" w:eastAsiaTheme="minorHAnsi"/>
          <w:sz w:val="20"/>
          <w:szCs w:val="20"/>
        </w:rPr>
      </w:pPr>
    </w:p>
    <w:p w14:paraId="02CBE70B">
      <w:pPr>
        <w:ind w:left="-284" w:firstLine="284"/>
        <w:jc w:val="both"/>
        <w:rPr>
          <w:rFonts w:ascii="Arial" w:hAnsi="Arial" w:cs="Arial" w:eastAsiaTheme="minorHAnsi"/>
          <w:sz w:val="20"/>
          <w:szCs w:val="20"/>
        </w:rPr>
      </w:pPr>
    </w:p>
    <w:p w14:paraId="666D26AA">
      <w:pPr>
        <w:ind w:left="-284" w:firstLine="284"/>
        <w:jc w:val="both"/>
        <w:rPr>
          <w:rFonts w:ascii="Arial" w:hAnsi="Arial" w:cs="Arial" w:eastAsiaTheme="minorHAnsi"/>
          <w:sz w:val="20"/>
          <w:szCs w:val="20"/>
        </w:rPr>
      </w:pPr>
    </w:p>
    <w:p w14:paraId="633AB3E2">
      <w:pPr>
        <w:ind w:left="-284" w:firstLine="284"/>
        <w:jc w:val="both"/>
        <w:rPr>
          <w:rFonts w:ascii="Arial" w:hAnsi="Arial" w:cs="Arial" w:eastAsiaTheme="minorHAnsi"/>
          <w:sz w:val="20"/>
          <w:szCs w:val="20"/>
        </w:rPr>
      </w:pPr>
    </w:p>
    <w:p w14:paraId="6DE40336">
      <w:pPr>
        <w:ind w:left="-284" w:firstLine="284"/>
        <w:jc w:val="both"/>
        <w:rPr>
          <w:rFonts w:ascii="Arial" w:hAnsi="Arial" w:cs="Arial" w:eastAsiaTheme="minorHAnsi"/>
          <w:sz w:val="20"/>
          <w:szCs w:val="20"/>
        </w:rPr>
      </w:pPr>
    </w:p>
    <w:p w14:paraId="229FADAA">
      <w:pPr>
        <w:jc w:val="center"/>
        <w:rPr>
          <w:rFonts w:ascii="Arial" w:hAnsi="Arial" w:cs="Arial"/>
          <w:b/>
          <w:bCs/>
          <w:sz w:val="26"/>
          <w:szCs w:val="26"/>
        </w:rPr>
      </w:pPr>
    </w:p>
    <w:p w14:paraId="5896EB29">
      <w:pPr>
        <w:jc w:val="center"/>
        <w:rPr>
          <w:rFonts w:ascii="Arial" w:hAnsi="Arial" w:cs="Arial"/>
          <w:b/>
          <w:bCs/>
          <w:sz w:val="26"/>
          <w:szCs w:val="26"/>
        </w:rPr>
      </w:pPr>
      <w:r>
        <w:rPr>
          <w:rFonts w:ascii="Arial" w:hAnsi="Arial" w:cs="Arial"/>
          <w:b/>
          <w:bCs/>
          <w:sz w:val="26"/>
          <w:szCs w:val="26"/>
        </w:rPr>
        <w:t>ANEXO IX</w:t>
      </w:r>
    </w:p>
    <w:p w14:paraId="0D05195B">
      <w:pPr>
        <w:jc w:val="center"/>
        <w:rPr>
          <w:rFonts w:ascii="Arial" w:hAnsi="Arial" w:cs="Arial"/>
          <w:b/>
          <w:bCs/>
        </w:rPr>
      </w:pPr>
    </w:p>
    <w:p w14:paraId="5D4BA70B">
      <w:pPr>
        <w:jc w:val="center"/>
        <w:rPr>
          <w:rFonts w:hint="default" w:ascii="Arial" w:hAnsi="Arial" w:cs="Arial"/>
          <w:b/>
          <w:bCs/>
          <w:lang w:val="pt-BR"/>
        </w:rPr>
      </w:pPr>
      <w:r>
        <w:rPr>
          <w:rFonts w:ascii="Arial" w:hAnsi="Arial" w:cs="Arial"/>
          <w:b/>
          <w:bCs/>
        </w:rPr>
        <w:t xml:space="preserve">Processo Licitatório n° </w:t>
      </w:r>
      <w:r>
        <w:rPr>
          <w:rFonts w:hint="default" w:ascii="Arial" w:hAnsi="Arial" w:cs="Arial"/>
          <w:b/>
          <w:bCs/>
          <w:lang w:val="pt-BR"/>
        </w:rPr>
        <w:t>065/2025</w:t>
      </w:r>
    </w:p>
    <w:p w14:paraId="63D7E9D4">
      <w:pPr>
        <w:jc w:val="center"/>
        <w:rPr>
          <w:rFonts w:hint="default" w:ascii="Arial" w:hAnsi="Arial" w:cs="Arial"/>
          <w:b/>
          <w:bCs/>
          <w:lang w:val="pt-BR"/>
        </w:rPr>
      </w:pPr>
      <w:r>
        <w:rPr>
          <w:rFonts w:ascii="Arial" w:hAnsi="Arial" w:cs="Arial"/>
          <w:b/>
          <w:bCs/>
        </w:rPr>
        <w:t xml:space="preserve">Pregão Eletrônico n° </w:t>
      </w:r>
      <w:r>
        <w:rPr>
          <w:rFonts w:hint="default" w:ascii="Arial" w:hAnsi="Arial" w:cs="Arial"/>
          <w:b/>
          <w:bCs/>
          <w:lang w:val="pt-BR"/>
        </w:rPr>
        <w:t>036/2025</w:t>
      </w:r>
    </w:p>
    <w:p w14:paraId="121E6144">
      <w:pPr>
        <w:jc w:val="center"/>
        <w:rPr>
          <w:rFonts w:hint="default" w:ascii="Arial" w:hAnsi="Arial" w:cs="Arial"/>
          <w:b/>
          <w:bCs/>
          <w:lang w:val="pt-BR"/>
        </w:rPr>
      </w:pPr>
      <w:r>
        <w:rPr>
          <w:rFonts w:ascii="Arial" w:hAnsi="Arial" w:cs="Arial"/>
          <w:b/>
          <w:bCs/>
        </w:rPr>
        <w:t xml:space="preserve">Registro de Preços n° </w:t>
      </w:r>
      <w:r>
        <w:rPr>
          <w:rFonts w:hint="default" w:ascii="Arial" w:hAnsi="Arial" w:cs="Arial"/>
          <w:b/>
          <w:bCs/>
          <w:lang w:val="pt-BR"/>
        </w:rPr>
        <w:t>034/2025</w:t>
      </w:r>
    </w:p>
    <w:p w14:paraId="3D47B941">
      <w:pPr>
        <w:jc w:val="center"/>
        <w:rPr>
          <w:rFonts w:hint="default" w:ascii="Arial" w:hAnsi="Arial" w:cs="Arial"/>
          <w:b/>
          <w:bCs/>
          <w:lang w:val="pt-BR"/>
        </w:rPr>
      </w:pPr>
    </w:p>
    <w:p w14:paraId="19CB5941">
      <w:pPr>
        <w:spacing w:line="200" w:lineRule="atLeast"/>
        <w:jc w:val="center"/>
        <w:rPr>
          <w:rFonts w:ascii="Garamond" w:hAnsi="Garamond"/>
          <w:b/>
          <w:lang w:eastAsia="ar-SA"/>
        </w:rPr>
      </w:pPr>
    </w:p>
    <w:p w14:paraId="3EA6475C">
      <w:pPr>
        <w:spacing w:line="200" w:lineRule="atLeast"/>
        <w:jc w:val="center"/>
        <w:rPr>
          <w:rFonts w:ascii="Garamond" w:hAnsi="Garamond"/>
          <w:b/>
          <w:lang w:eastAsia="ar-SA"/>
        </w:rPr>
      </w:pPr>
    </w:p>
    <w:p w14:paraId="3D122797">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4A066810">
      <w:pPr>
        <w:autoSpaceDE w:val="0"/>
        <w:spacing w:line="200" w:lineRule="atLeast"/>
        <w:jc w:val="center"/>
        <w:rPr>
          <w:rFonts w:ascii="Arial" w:hAnsi="Arial" w:cs="Arial"/>
          <w:b/>
          <w:bCs/>
          <w:sz w:val="20"/>
          <w:szCs w:val="20"/>
          <w:lang w:eastAsia="ar-SA"/>
        </w:rPr>
      </w:pPr>
    </w:p>
    <w:p w14:paraId="51AB1C61">
      <w:pPr>
        <w:autoSpaceDE w:val="0"/>
        <w:spacing w:line="200" w:lineRule="atLeast"/>
        <w:rPr>
          <w:rFonts w:ascii="Arial" w:hAnsi="Arial" w:cs="Arial"/>
          <w:b/>
          <w:bCs/>
          <w:sz w:val="20"/>
          <w:szCs w:val="20"/>
          <w:lang w:eastAsia="ar-SA"/>
        </w:rPr>
      </w:pPr>
    </w:p>
    <w:p w14:paraId="4485BFA2">
      <w:pPr>
        <w:autoSpaceDE w:val="0"/>
        <w:spacing w:line="200" w:lineRule="atLeast"/>
        <w:rPr>
          <w:rFonts w:ascii="Arial" w:hAnsi="Arial" w:cs="Arial"/>
          <w:b/>
          <w:bCs/>
          <w:sz w:val="20"/>
          <w:szCs w:val="20"/>
          <w:lang w:eastAsia="ar-SA"/>
        </w:rPr>
      </w:pPr>
    </w:p>
    <w:p w14:paraId="43764A7F">
      <w:pPr>
        <w:autoSpaceDE w:val="0"/>
        <w:spacing w:line="200" w:lineRule="atLeast"/>
        <w:rPr>
          <w:rFonts w:ascii="Arial" w:hAnsi="Arial" w:cs="Arial"/>
          <w:b/>
          <w:bCs/>
          <w:sz w:val="20"/>
          <w:szCs w:val="20"/>
          <w:lang w:eastAsia="ar-SA"/>
        </w:rPr>
      </w:pPr>
    </w:p>
    <w:p w14:paraId="60EF4C09">
      <w:pPr>
        <w:pStyle w:val="14"/>
        <w:ind w:firstLine="1134"/>
        <w:rPr>
          <w:rFonts w:ascii="Arial" w:hAnsi="Arial" w:cs="Arial"/>
          <w:sz w:val="20"/>
          <w:szCs w:val="20"/>
        </w:rPr>
      </w:pPr>
      <w:r>
        <w:rPr>
          <w:rFonts w:ascii="Arial" w:hAnsi="Arial" w:cs="Arial"/>
          <w:sz w:val="20"/>
          <w:szCs w:val="20"/>
        </w:rPr>
        <w:t>A Empresa _________________________________ inscrita no CNPJ sob  nº_________________________________, sediada (endereço completo), _______________________________________por seu representante abaixo assinado.</w:t>
      </w:r>
    </w:p>
    <w:p w14:paraId="1FD6A671">
      <w:pPr>
        <w:autoSpaceDE w:val="0"/>
        <w:spacing w:line="200" w:lineRule="atLeast"/>
        <w:rPr>
          <w:rFonts w:ascii="Arial" w:hAnsi="Arial" w:cs="Arial"/>
          <w:sz w:val="20"/>
          <w:szCs w:val="20"/>
          <w:lang w:eastAsia="ar-SA"/>
        </w:rPr>
      </w:pPr>
      <w:r>
        <w:rPr>
          <w:rFonts w:ascii="Arial" w:hAnsi="Arial" w:cs="Arial"/>
          <w:sz w:val="20"/>
          <w:szCs w:val="20"/>
          <w:lang w:eastAsia="ar-SA"/>
        </w:rPr>
        <w:t xml:space="preserve">                                    </w:t>
      </w:r>
    </w:p>
    <w:p w14:paraId="1CB6D43C">
      <w:pPr>
        <w:autoSpaceDE w:val="0"/>
        <w:spacing w:line="200" w:lineRule="atLeast"/>
        <w:ind w:firstLine="1134"/>
        <w:jc w:val="both"/>
        <w:rPr>
          <w:rFonts w:ascii="Arial" w:hAnsi="Arial" w:cs="Arial"/>
          <w:sz w:val="20"/>
          <w:szCs w:val="20"/>
          <w:lang w:eastAsia="ar-SA"/>
        </w:rPr>
      </w:pPr>
      <w:r>
        <w:rPr>
          <w:rFonts w:ascii="Arial" w:hAnsi="Arial" w:cs="Arial"/>
          <w:sz w:val="20"/>
          <w:szCs w:val="20"/>
          <w:lang w:eastAsia="ar-SA"/>
        </w:rPr>
        <w:t xml:space="preserve"> DECLARA, sob as penas da Lei, que </w:t>
      </w:r>
      <w:r>
        <w:rPr>
          <w:rFonts w:ascii="Arial" w:hAnsi="Arial" w:cs="Arial"/>
          <w:sz w:val="20"/>
          <w:szCs w:val="20"/>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3F7FC990">
      <w:pPr>
        <w:autoSpaceDE w:val="0"/>
        <w:spacing w:line="200" w:lineRule="atLeast"/>
        <w:ind w:firstLine="1134"/>
        <w:jc w:val="both"/>
        <w:rPr>
          <w:rFonts w:ascii="Arial" w:hAnsi="Arial" w:cs="Arial"/>
          <w:sz w:val="20"/>
          <w:szCs w:val="20"/>
          <w:lang w:eastAsia="ar-SA"/>
        </w:rPr>
      </w:pPr>
    </w:p>
    <w:p w14:paraId="557C3D54">
      <w:pPr>
        <w:pStyle w:val="328"/>
        <w:spacing w:before="0" w:after="0"/>
        <w:jc w:val="center"/>
        <w:rPr>
          <w:rFonts w:ascii="Arial" w:hAnsi="Arial" w:cs="Arial"/>
          <w:sz w:val="20"/>
          <w:szCs w:val="20"/>
        </w:rPr>
      </w:pPr>
    </w:p>
    <w:p w14:paraId="7CCC32CD">
      <w:pPr>
        <w:autoSpaceDE w:val="0"/>
        <w:spacing w:line="200" w:lineRule="atLeast"/>
        <w:rPr>
          <w:rFonts w:ascii="Arial" w:hAnsi="Arial" w:cs="Arial"/>
          <w:i/>
          <w:iCs/>
          <w:sz w:val="20"/>
          <w:szCs w:val="20"/>
          <w:lang w:eastAsia="ar-SA"/>
        </w:rPr>
      </w:pPr>
    </w:p>
    <w:p w14:paraId="75363475">
      <w:pPr>
        <w:pStyle w:val="328"/>
        <w:spacing w:before="0" w:after="0"/>
        <w:jc w:val="both"/>
        <w:rPr>
          <w:rFonts w:ascii="Arial" w:hAnsi="Arial" w:cs="Arial"/>
          <w:sz w:val="20"/>
          <w:szCs w:val="20"/>
        </w:rPr>
      </w:pPr>
      <w:r>
        <w:rPr>
          <w:rFonts w:ascii="Arial" w:hAnsi="Arial" w:cs="Arial"/>
          <w:sz w:val="20"/>
          <w:szCs w:val="20"/>
        </w:rPr>
        <w:t xml:space="preserve">Cataguases/MG, ________ de ________________ de </w:t>
      </w:r>
      <w:r>
        <w:rPr>
          <w:rFonts w:ascii="Arial" w:hAnsi="Arial" w:cs="Arial"/>
          <w:sz w:val="20"/>
          <w:szCs w:val="20"/>
          <w:lang w:val="pt-BR"/>
        </w:rPr>
        <w:t>2025</w:t>
      </w:r>
      <w:r>
        <w:rPr>
          <w:rFonts w:ascii="Arial" w:hAnsi="Arial" w:cs="Arial"/>
          <w:sz w:val="20"/>
          <w:szCs w:val="20"/>
        </w:rPr>
        <w:t>.</w:t>
      </w:r>
    </w:p>
    <w:p w14:paraId="79D3BF76">
      <w:pPr>
        <w:pStyle w:val="328"/>
        <w:spacing w:before="0" w:after="0"/>
        <w:jc w:val="center"/>
        <w:rPr>
          <w:rFonts w:ascii="Arial" w:hAnsi="Arial" w:cs="Arial"/>
          <w:sz w:val="20"/>
          <w:szCs w:val="20"/>
        </w:rPr>
      </w:pPr>
    </w:p>
    <w:p w14:paraId="7BDEDD3F">
      <w:pPr>
        <w:pStyle w:val="328"/>
        <w:spacing w:before="0" w:after="0"/>
        <w:jc w:val="center"/>
        <w:rPr>
          <w:rFonts w:ascii="Arial" w:hAnsi="Arial" w:cs="Arial"/>
          <w:sz w:val="20"/>
          <w:szCs w:val="20"/>
        </w:rPr>
      </w:pPr>
    </w:p>
    <w:p w14:paraId="4419180E">
      <w:pPr>
        <w:pStyle w:val="328"/>
        <w:spacing w:before="0" w:after="0"/>
        <w:jc w:val="both"/>
        <w:rPr>
          <w:rFonts w:ascii="Arial" w:hAnsi="Arial" w:cs="Arial"/>
          <w:sz w:val="20"/>
          <w:szCs w:val="20"/>
        </w:rPr>
      </w:pPr>
    </w:p>
    <w:p w14:paraId="54530A7D">
      <w:pPr>
        <w:pStyle w:val="328"/>
        <w:spacing w:before="0" w:after="0"/>
        <w:jc w:val="center"/>
        <w:rPr>
          <w:rFonts w:ascii="Arial" w:hAnsi="Arial" w:cs="Arial"/>
          <w:sz w:val="20"/>
          <w:szCs w:val="20"/>
        </w:rPr>
      </w:pPr>
    </w:p>
    <w:p w14:paraId="4A8145D0">
      <w:pPr>
        <w:pStyle w:val="328"/>
        <w:spacing w:before="0" w:after="0"/>
        <w:jc w:val="center"/>
        <w:rPr>
          <w:rFonts w:ascii="Arial" w:hAnsi="Arial" w:cs="Arial"/>
          <w:sz w:val="20"/>
          <w:szCs w:val="20"/>
        </w:rPr>
      </w:pPr>
      <w:r>
        <w:rPr>
          <w:rFonts w:ascii="Arial" w:hAnsi="Arial" w:cs="Arial"/>
          <w:sz w:val="20"/>
          <w:szCs w:val="20"/>
        </w:rPr>
        <w:t>____________________________________</w:t>
      </w:r>
    </w:p>
    <w:p w14:paraId="4270AF5C">
      <w:pPr>
        <w:pStyle w:val="328"/>
        <w:spacing w:before="0" w:after="0"/>
        <w:jc w:val="center"/>
        <w:rPr>
          <w:rFonts w:ascii="Arial" w:hAnsi="Arial" w:cs="Arial"/>
          <w:sz w:val="20"/>
          <w:szCs w:val="20"/>
        </w:rPr>
      </w:pPr>
      <w:r>
        <w:rPr>
          <w:rFonts w:ascii="Arial" w:hAnsi="Arial" w:cs="Arial"/>
          <w:sz w:val="20"/>
          <w:szCs w:val="20"/>
        </w:rPr>
        <w:t>Ass. Responsável</w:t>
      </w:r>
    </w:p>
    <w:p w14:paraId="199C222D">
      <w:pPr>
        <w:autoSpaceDE w:val="0"/>
        <w:spacing w:line="200" w:lineRule="atLeast"/>
        <w:rPr>
          <w:rFonts w:ascii="Arial" w:hAnsi="Arial" w:cs="Arial"/>
          <w:sz w:val="20"/>
          <w:szCs w:val="20"/>
          <w:lang w:eastAsia="ar-SA"/>
        </w:rPr>
      </w:pPr>
    </w:p>
    <w:p w14:paraId="68A94B76">
      <w:pPr>
        <w:pStyle w:val="328"/>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267E1D9E">
      <w:pPr>
        <w:autoSpaceDE w:val="0"/>
        <w:autoSpaceDN w:val="0"/>
        <w:adjustRightInd w:val="0"/>
        <w:rPr>
          <w:rFonts w:ascii="Arial" w:hAnsi="Arial" w:eastAsia="Calibri" w:cs="Arial"/>
          <w:color w:val="000000"/>
          <w:sz w:val="20"/>
          <w:szCs w:val="20"/>
          <w:lang w:eastAsia="en-US"/>
        </w:rPr>
      </w:pPr>
    </w:p>
    <w:p w14:paraId="17D38BC7">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7DA3A3B7">
      <w:pPr>
        <w:ind w:left="-284" w:firstLine="284"/>
        <w:jc w:val="both"/>
        <w:rPr>
          <w:rFonts w:ascii="Arial" w:hAnsi="Arial" w:cs="Arial" w:eastAsiaTheme="minorHAnsi"/>
          <w:sz w:val="20"/>
          <w:szCs w:val="20"/>
        </w:rPr>
      </w:pPr>
    </w:p>
    <w:p w14:paraId="5968D3D4">
      <w:pPr>
        <w:ind w:left="-284" w:firstLine="284"/>
        <w:jc w:val="both"/>
        <w:rPr>
          <w:rFonts w:ascii="Arial" w:hAnsi="Arial" w:cs="Arial" w:eastAsiaTheme="minorHAnsi"/>
          <w:sz w:val="20"/>
          <w:szCs w:val="20"/>
        </w:rPr>
      </w:pPr>
    </w:p>
    <w:p w14:paraId="3793EB00">
      <w:pPr>
        <w:ind w:left="-284" w:firstLine="284"/>
        <w:jc w:val="both"/>
        <w:rPr>
          <w:rFonts w:ascii="Arial" w:hAnsi="Arial" w:cs="Arial" w:eastAsiaTheme="minorHAnsi"/>
          <w:sz w:val="20"/>
          <w:szCs w:val="20"/>
        </w:rPr>
      </w:pPr>
    </w:p>
    <w:p w14:paraId="40511394">
      <w:pPr>
        <w:ind w:left="-284" w:firstLine="284"/>
        <w:jc w:val="both"/>
        <w:rPr>
          <w:rFonts w:ascii="Arial" w:hAnsi="Arial" w:cs="Arial" w:eastAsiaTheme="minorHAnsi"/>
          <w:sz w:val="20"/>
          <w:szCs w:val="20"/>
        </w:rPr>
      </w:pPr>
    </w:p>
    <w:p w14:paraId="7967C021">
      <w:pPr>
        <w:ind w:left="-284" w:firstLine="284"/>
        <w:jc w:val="both"/>
        <w:rPr>
          <w:rFonts w:ascii="Arial" w:hAnsi="Arial" w:cs="Arial" w:eastAsiaTheme="minorHAnsi"/>
          <w:sz w:val="20"/>
          <w:szCs w:val="20"/>
        </w:rPr>
      </w:pPr>
    </w:p>
    <w:p w14:paraId="65A2DB9D">
      <w:pPr>
        <w:ind w:left="-284" w:firstLine="284"/>
        <w:jc w:val="both"/>
        <w:rPr>
          <w:rFonts w:ascii="Arial" w:hAnsi="Arial" w:cs="Arial" w:eastAsiaTheme="minorHAnsi"/>
          <w:sz w:val="20"/>
          <w:szCs w:val="20"/>
        </w:rPr>
      </w:pPr>
    </w:p>
    <w:p w14:paraId="7E09FB73">
      <w:pPr>
        <w:ind w:left="-284" w:firstLine="284"/>
        <w:jc w:val="both"/>
        <w:rPr>
          <w:rFonts w:ascii="Arial" w:hAnsi="Arial" w:cs="Arial" w:eastAsiaTheme="minorHAnsi"/>
          <w:sz w:val="20"/>
          <w:szCs w:val="20"/>
        </w:rPr>
      </w:pPr>
    </w:p>
    <w:p w14:paraId="4BEAF3A2">
      <w:pPr>
        <w:ind w:left="-284" w:firstLine="284"/>
        <w:jc w:val="both"/>
        <w:rPr>
          <w:rFonts w:ascii="Arial" w:hAnsi="Arial" w:cs="Arial" w:eastAsiaTheme="minorHAnsi"/>
          <w:sz w:val="20"/>
          <w:szCs w:val="20"/>
        </w:rPr>
      </w:pPr>
    </w:p>
    <w:p w14:paraId="29C18233">
      <w:pPr>
        <w:ind w:left="-284" w:firstLine="284"/>
        <w:jc w:val="both"/>
        <w:rPr>
          <w:rFonts w:ascii="Arial" w:hAnsi="Arial" w:cs="Arial" w:eastAsiaTheme="minorHAnsi"/>
          <w:sz w:val="20"/>
          <w:szCs w:val="20"/>
        </w:rPr>
      </w:pPr>
    </w:p>
    <w:p w14:paraId="44ADF0BA">
      <w:pPr>
        <w:ind w:left="-284" w:firstLine="284"/>
        <w:jc w:val="both"/>
        <w:rPr>
          <w:rFonts w:ascii="Arial" w:hAnsi="Arial" w:cs="Arial" w:eastAsiaTheme="minorHAnsi"/>
          <w:sz w:val="20"/>
          <w:szCs w:val="20"/>
        </w:rPr>
      </w:pPr>
    </w:p>
    <w:p w14:paraId="225D37E5">
      <w:pPr>
        <w:ind w:left="-284" w:firstLine="284"/>
        <w:jc w:val="both"/>
        <w:rPr>
          <w:rFonts w:ascii="Arial" w:hAnsi="Arial" w:cs="Arial" w:eastAsiaTheme="minorHAnsi"/>
          <w:sz w:val="20"/>
          <w:szCs w:val="20"/>
        </w:rPr>
      </w:pPr>
    </w:p>
    <w:p w14:paraId="3E3BF980">
      <w:pPr>
        <w:ind w:left="-284" w:firstLine="284"/>
        <w:jc w:val="both"/>
        <w:rPr>
          <w:rFonts w:ascii="Arial" w:hAnsi="Arial" w:cs="Arial" w:eastAsiaTheme="minorHAnsi"/>
          <w:sz w:val="20"/>
          <w:szCs w:val="20"/>
        </w:rPr>
      </w:pPr>
    </w:p>
    <w:p w14:paraId="6414DC65">
      <w:pPr>
        <w:ind w:left="-284" w:firstLine="284"/>
        <w:jc w:val="both"/>
        <w:rPr>
          <w:rFonts w:ascii="Arial" w:hAnsi="Arial" w:cs="Arial" w:eastAsiaTheme="minorHAnsi"/>
          <w:sz w:val="20"/>
          <w:szCs w:val="20"/>
        </w:rPr>
      </w:pPr>
    </w:p>
    <w:p w14:paraId="6A5EB7E2">
      <w:pPr>
        <w:ind w:left="-284" w:firstLine="284"/>
        <w:jc w:val="both"/>
        <w:rPr>
          <w:rFonts w:ascii="Arial" w:hAnsi="Arial" w:cs="Arial" w:eastAsiaTheme="minorHAnsi"/>
          <w:sz w:val="20"/>
          <w:szCs w:val="20"/>
        </w:rPr>
      </w:pPr>
    </w:p>
    <w:p w14:paraId="1D9778AA">
      <w:pPr>
        <w:ind w:left="-284" w:firstLine="284"/>
        <w:jc w:val="both"/>
        <w:rPr>
          <w:rFonts w:ascii="Arial" w:hAnsi="Arial" w:cs="Arial" w:eastAsiaTheme="minorHAnsi"/>
          <w:sz w:val="20"/>
          <w:szCs w:val="20"/>
        </w:rPr>
      </w:pPr>
    </w:p>
    <w:p w14:paraId="1BB9648F">
      <w:pPr>
        <w:ind w:left="-284" w:firstLine="284"/>
        <w:jc w:val="both"/>
        <w:rPr>
          <w:rFonts w:ascii="Arial" w:hAnsi="Arial" w:cs="Arial" w:eastAsiaTheme="minorHAnsi"/>
          <w:sz w:val="20"/>
          <w:szCs w:val="20"/>
        </w:rPr>
      </w:pPr>
    </w:p>
    <w:p w14:paraId="0E3E18EC">
      <w:pPr>
        <w:ind w:left="-284" w:firstLine="284"/>
        <w:jc w:val="both"/>
        <w:rPr>
          <w:rFonts w:ascii="Arial" w:hAnsi="Arial" w:cs="Arial" w:eastAsiaTheme="minorHAnsi"/>
          <w:sz w:val="20"/>
          <w:szCs w:val="20"/>
        </w:rPr>
      </w:pPr>
    </w:p>
    <w:p w14:paraId="155B004A">
      <w:pPr>
        <w:ind w:left="-284" w:firstLine="284"/>
        <w:jc w:val="both"/>
        <w:rPr>
          <w:rFonts w:ascii="Arial" w:hAnsi="Arial" w:cs="Arial" w:eastAsiaTheme="minorHAnsi"/>
          <w:sz w:val="20"/>
          <w:szCs w:val="20"/>
        </w:rPr>
      </w:pPr>
    </w:p>
    <w:p w14:paraId="5BB539A9">
      <w:pPr>
        <w:ind w:left="-284" w:firstLine="284"/>
        <w:jc w:val="both"/>
        <w:rPr>
          <w:rFonts w:ascii="Arial" w:hAnsi="Arial" w:cs="Arial" w:eastAsiaTheme="minorHAnsi"/>
          <w:sz w:val="20"/>
          <w:szCs w:val="20"/>
        </w:rPr>
      </w:pPr>
    </w:p>
    <w:p w14:paraId="0B8FF4AD">
      <w:pPr>
        <w:ind w:left="-284" w:firstLine="284"/>
        <w:jc w:val="both"/>
        <w:rPr>
          <w:rFonts w:ascii="Arial" w:hAnsi="Arial" w:cs="Arial" w:eastAsiaTheme="minorHAnsi"/>
          <w:sz w:val="20"/>
          <w:szCs w:val="20"/>
        </w:rPr>
      </w:pPr>
    </w:p>
    <w:p w14:paraId="577DB0AC">
      <w:pPr>
        <w:ind w:left="-284" w:firstLine="284"/>
        <w:jc w:val="both"/>
        <w:rPr>
          <w:rFonts w:ascii="Arial" w:hAnsi="Arial" w:cs="Arial" w:eastAsiaTheme="minorHAnsi"/>
          <w:sz w:val="20"/>
          <w:szCs w:val="20"/>
        </w:rPr>
      </w:pPr>
    </w:p>
    <w:p w14:paraId="0441CEAB">
      <w:pPr>
        <w:ind w:left="-284" w:firstLine="284"/>
        <w:jc w:val="both"/>
        <w:rPr>
          <w:rFonts w:ascii="Arial" w:hAnsi="Arial" w:cs="Arial" w:eastAsiaTheme="minorHAnsi"/>
          <w:sz w:val="20"/>
          <w:szCs w:val="20"/>
        </w:rPr>
      </w:pPr>
    </w:p>
    <w:p w14:paraId="0B1B9DDF">
      <w:pPr>
        <w:jc w:val="both"/>
        <w:rPr>
          <w:rFonts w:ascii="Arial" w:hAnsi="Arial" w:cs="Arial" w:eastAsiaTheme="minorHAnsi"/>
          <w:sz w:val="20"/>
          <w:szCs w:val="20"/>
        </w:rPr>
      </w:pPr>
    </w:p>
    <w:p w14:paraId="2294FF13">
      <w:pPr>
        <w:ind w:left="-284" w:firstLine="284"/>
        <w:jc w:val="both"/>
        <w:rPr>
          <w:rFonts w:ascii="Arial" w:hAnsi="Arial" w:cs="Arial" w:eastAsiaTheme="minorHAnsi"/>
          <w:sz w:val="20"/>
          <w:szCs w:val="20"/>
        </w:rPr>
      </w:pPr>
    </w:p>
    <w:p w14:paraId="43E93927">
      <w:pPr>
        <w:jc w:val="center"/>
        <w:rPr>
          <w:rFonts w:ascii="Arial" w:hAnsi="Arial" w:cs="Arial"/>
          <w:b/>
          <w:bCs/>
          <w:sz w:val="26"/>
          <w:szCs w:val="26"/>
        </w:rPr>
      </w:pPr>
    </w:p>
    <w:p w14:paraId="4C8AAC3A">
      <w:pPr>
        <w:jc w:val="center"/>
        <w:rPr>
          <w:rFonts w:ascii="Arial" w:hAnsi="Arial" w:cs="Arial"/>
          <w:b/>
          <w:bCs/>
          <w:sz w:val="26"/>
          <w:szCs w:val="26"/>
        </w:rPr>
      </w:pPr>
      <w:r>
        <w:rPr>
          <w:rFonts w:ascii="Arial" w:hAnsi="Arial" w:cs="Arial"/>
          <w:b/>
          <w:bCs/>
          <w:sz w:val="26"/>
          <w:szCs w:val="26"/>
        </w:rPr>
        <w:t>ANEXO X</w:t>
      </w:r>
    </w:p>
    <w:p w14:paraId="68676417">
      <w:pPr>
        <w:jc w:val="center"/>
        <w:rPr>
          <w:rFonts w:ascii="Arial" w:hAnsi="Arial" w:cs="Arial"/>
          <w:b/>
          <w:bCs/>
        </w:rPr>
      </w:pPr>
    </w:p>
    <w:p w14:paraId="67F9ADDB">
      <w:pPr>
        <w:jc w:val="center"/>
        <w:rPr>
          <w:rFonts w:hint="default" w:ascii="Arial" w:hAnsi="Arial" w:cs="Arial"/>
          <w:b/>
          <w:bCs/>
          <w:lang w:val="pt-BR"/>
        </w:rPr>
      </w:pPr>
      <w:r>
        <w:rPr>
          <w:rFonts w:ascii="Arial" w:hAnsi="Arial" w:cs="Arial"/>
          <w:b/>
          <w:bCs/>
        </w:rPr>
        <w:t xml:space="preserve">Processo Licitatório n° </w:t>
      </w:r>
      <w:r>
        <w:rPr>
          <w:rFonts w:hint="default" w:ascii="Arial" w:hAnsi="Arial" w:cs="Arial"/>
          <w:b/>
          <w:bCs/>
          <w:lang w:val="pt-BR"/>
        </w:rPr>
        <w:t>065/2025</w:t>
      </w:r>
    </w:p>
    <w:p w14:paraId="7A426522">
      <w:pPr>
        <w:jc w:val="center"/>
        <w:rPr>
          <w:rFonts w:hint="default" w:ascii="Arial" w:hAnsi="Arial" w:cs="Arial"/>
          <w:b/>
          <w:bCs/>
          <w:lang w:val="pt-BR"/>
        </w:rPr>
      </w:pPr>
      <w:r>
        <w:rPr>
          <w:rFonts w:ascii="Arial" w:hAnsi="Arial" w:cs="Arial"/>
          <w:b/>
          <w:bCs/>
        </w:rPr>
        <w:t xml:space="preserve">Pregão Eletrônico n° </w:t>
      </w:r>
      <w:r>
        <w:rPr>
          <w:rFonts w:hint="default" w:ascii="Arial" w:hAnsi="Arial" w:cs="Arial"/>
          <w:b/>
          <w:bCs/>
          <w:lang w:val="pt-BR"/>
        </w:rPr>
        <w:t>036/2025</w:t>
      </w:r>
    </w:p>
    <w:p w14:paraId="5196EF06">
      <w:pPr>
        <w:jc w:val="center"/>
        <w:rPr>
          <w:rFonts w:hint="default" w:ascii="Arial" w:hAnsi="Arial" w:cs="Arial"/>
          <w:b/>
          <w:bCs/>
          <w:lang w:val="pt-BR"/>
        </w:rPr>
      </w:pPr>
      <w:r>
        <w:rPr>
          <w:rFonts w:ascii="Arial" w:hAnsi="Arial" w:cs="Arial"/>
          <w:b/>
          <w:bCs/>
        </w:rPr>
        <w:t xml:space="preserve">Registro de Preços n° </w:t>
      </w:r>
      <w:r>
        <w:rPr>
          <w:rFonts w:hint="default" w:ascii="Arial" w:hAnsi="Arial" w:cs="Arial"/>
          <w:b/>
          <w:bCs/>
          <w:lang w:val="pt-BR"/>
        </w:rPr>
        <w:t>034/2025</w:t>
      </w:r>
    </w:p>
    <w:p w14:paraId="118194BD">
      <w:pPr>
        <w:spacing w:line="200" w:lineRule="atLeast"/>
        <w:jc w:val="center"/>
        <w:rPr>
          <w:rFonts w:ascii="Garamond" w:hAnsi="Garamond"/>
          <w:b/>
          <w:lang w:eastAsia="ar-SA"/>
        </w:rPr>
      </w:pPr>
    </w:p>
    <w:p w14:paraId="14883DC4">
      <w:pPr>
        <w:spacing w:line="200" w:lineRule="atLeast"/>
        <w:jc w:val="center"/>
        <w:rPr>
          <w:rFonts w:ascii="Garamond" w:hAnsi="Garamond"/>
          <w:b/>
          <w:lang w:eastAsia="ar-SA"/>
        </w:rPr>
      </w:pPr>
    </w:p>
    <w:p w14:paraId="4A7243EF">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349F1F09">
      <w:pPr>
        <w:autoSpaceDE w:val="0"/>
        <w:spacing w:line="200" w:lineRule="atLeast"/>
        <w:jc w:val="center"/>
        <w:rPr>
          <w:rFonts w:ascii="Arial" w:hAnsi="Arial" w:cs="Arial"/>
          <w:b/>
          <w:bCs/>
          <w:sz w:val="20"/>
          <w:szCs w:val="20"/>
          <w:lang w:eastAsia="ar-SA"/>
        </w:rPr>
      </w:pPr>
    </w:p>
    <w:p w14:paraId="387CF52A">
      <w:pPr>
        <w:autoSpaceDE w:val="0"/>
        <w:spacing w:line="200" w:lineRule="atLeast"/>
        <w:rPr>
          <w:rFonts w:ascii="Arial" w:hAnsi="Arial" w:cs="Arial"/>
          <w:b/>
          <w:bCs/>
          <w:sz w:val="20"/>
          <w:szCs w:val="20"/>
          <w:lang w:eastAsia="ar-SA"/>
        </w:rPr>
      </w:pPr>
    </w:p>
    <w:p w14:paraId="57C7CBE9">
      <w:pPr>
        <w:autoSpaceDE w:val="0"/>
        <w:spacing w:line="200" w:lineRule="atLeast"/>
        <w:rPr>
          <w:rFonts w:ascii="Arial" w:hAnsi="Arial" w:cs="Arial"/>
          <w:b/>
          <w:bCs/>
          <w:sz w:val="20"/>
          <w:szCs w:val="20"/>
          <w:lang w:eastAsia="ar-SA"/>
        </w:rPr>
      </w:pPr>
    </w:p>
    <w:p w14:paraId="1570527E">
      <w:pPr>
        <w:autoSpaceDE w:val="0"/>
        <w:spacing w:line="200" w:lineRule="atLeast"/>
        <w:rPr>
          <w:rFonts w:ascii="Arial" w:hAnsi="Arial" w:cs="Arial"/>
          <w:b/>
          <w:bCs/>
          <w:sz w:val="20"/>
          <w:szCs w:val="20"/>
          <w:lang w:eastAsia="ar-SA"/>
        </w:rPr>
      </w:pPr>
    </w:p>
    <w:p w14:paraId="7F010723">
      <w:pPr>
        <w:pStyle w:val="14"/>
        <w:spacing w:line="360" w:lineRule="auto"/>
        <w:ind w:firstLine="1440"/>
        <w:rPr>
          <w:rFonts w:ascii="Arial" w:hAnsi="Arial" w:cs="Arial"/>
          <w:sz w:val="20"/>
          <w:szCs w:val="20"/>
        </w:rPr>
      </w:pPr>
      <w:r>
        <w:rPr>
          <w:rFonts w:ascii="Arial" w:hAnsi="Arial" w:cs="Arial"/>
          <w:sz w:val="20"/>
          <w:szCs w:val="20"/>
        </w:rPr>
        <w:t>A Empresa _________________________________ inscrita no CNPJ sob  nº_________________________________, sediada (endereço completo), _______________________________________por seu representante abaixo assinado.</w:t>
      </w:r>
    </w:p>
    <w:p w14:paraId="2E04BFEE">
      <w:pPr>
        <w:autoSpaceDE w:val="0"/>
        <w:spacing w:line="360" w:lineRule="auto"/>
        <w:rPr>
          <w:rFonts w:ascii="Arial" w:hAnsi="Arial" w:cs="Arial"/>
          <w:sz w:val="20"/>
          <w:szCs w:val="20"/>
          <w:lang w:eastAsia="ar-SA"/>
        </w:rPr>
      </w:pPr>
      <w:r>
        <w:rPr>
          <w:rFonts w:ascii="Arial" w:hAnsi="Arial" w:cs="Arial"/>
          <w:sz w:val="20"/>
          <w:szCs w:val="20"/>
          <w:lang w:eastAsia="ar-SA"/>
        </w:rPr>
        <w:t xml:space="preserve">                                    </w:t>
      </w:r>
    </w:p>
    <w:p w14:paraId="7647B91E">
      <w:pPr>
        <w:pStyle w:val="220"/>
        <w:tabs>
          <w:tab w:val="left" w:pos="428"/>
          <w:tab w:val="left" w:pos="960"/>
        </w:tabs>
        <w:spacing w:before="1" w:line="360" w:lineRule="auto"/>
        <w:ind w:left="0" w:right="192"/>
        <w:rPr>
          <w:rFonts w:ascii="Arial" w:hAnsi="Arial" w:cs="Arial"/>
          <w:sz w:val="20"/>
          <w:szCs w:val="20"/>
          <w:lang w:eastAsia="ar-SA"/>
        </w:rPr>
      </w:pPr>
      <w:r>
        <w:rPr>
          <w:rFonts w:ascii="Arial" w:hAnsi="Arial" w:cs="Arial"/>
          <w:sz w:val="20"/>
          <w:szCs w:val="20"/>
          <w:lang w:eastAsia="ar-SA"/>
        </w:rPr>
        <w:tab/>
      </w:r>
      <w:r>
        <w:rPr>
          <w:rFonts w:ascii="Arial" w:hAnsi="Arial" w:cs="Arial"/>
          <w:sz w:val="20"/>
          <w:szCs w:val="20"/>
          <w:lang w:eastAsia="ar-SA"/>
        </w:rPr>
        <w:tab/>
      </w:r>
      <w:r>
        <w:rPr>
          <w:rFonts w:ascii="Arial" w:hAnsi="Arial" w:cs="Arial"/>
          <w:sz w:val="20"/>
          <w:szCs w:val="20"/>
          <w:lang w:eastAsia="ar-SA"/>
        </w:rPr>
        <w:tab/>
      </w:r>
      <w:r>
        <w:rPr>
          <w:rFonts w:ascii="Arial" w:hAnsi="Arial" w:cs="Arial"/>
          <w:sz w:val="20"/>
          <w:szCs w:val="20"/>
          <w:lang w:eastAsia="ar-SA"/>
        </w:rPr>
        <w:t xml:space="preserve">DECLARA, que nossa empresa </w:t>
      </w:r>
      <w:r>
        <w:rPr>
          <w:rFonts w:ascii="Arial" w:hAnsi="Arial" w:cs="Arial"/>
          <w:sz w:val="20"/>
          <w:szCs w:val="20"/>
        </w:rPr>
        <w:t>não está impedida de contratar com a Administração Pública, Direta e Indireta, assim como não foi declarada inidônea pelo Poder Público, de nenhuma esfera; e não existe fato impeditivo à nossa habilitação e contratação.</w:t>
      </w:r>
    </w:p>
    <w:p w14:paraId="42A0E689">
      <w:pPr>
        <w:pStyle w:val="328"/>
        <w:spacing w:before="0" w:after="0"/>
        <w:jc w:val="center"/>
        <w:rPr>
          <w:rFonts w:ascii="Arial" w:hAnsi="Arial" w:cs="Arial"/>
          <w:sz w:val="20"/>
          <w:szCs w:val="20"/>
        </w:rPr>
      </w:pPr>
    </w:p>
    <w:p w14:paraId="41436328">
      <w:pPr>
        <w:autoSpaceDE w:val="0"/>
        <w:spacing w:line="200" w:lineRule="atLeast"/>
        <w:rPr>
          <w:rFonts w:ascii="Arial" w:hAnsi="Arial" w:cs="Arial"/>
          <w:i/>
          <w:iCs/>
          <w:sz w:val="20"/>
          <w:szCs w:val="20"/>
          <w:lang w:eastAsia="ar-SA"/>
        </w:rPr>
      </w:pPr>
    </w:p>
    <w:p w14:paraId="7A4D0E58">
      <w:pPr>
        <w:pStyle w:val="328"/>
        <w:spacing w:before="0" w:after="0"/>
        <w:jc w:val="both"/>
        <w:rPr>
          <w:rFonts w:ascii="Arial" w:hAnsi="Arial" w:cs="Arial"/>
          <w:sz w:val="20"/>
          <w:szCs w:val="20"/>
        </w:rPr>
      </w:pPr>
      <w:r>
        <w:rPr>
          <w:rFonts w:ascii="Arial" w:hAnsi="Arial" w:cs="Arial"/>
          <w:sz w:val="20"/>
          <w:szCs w:val="20"/>
        </w:rPr>
        <w:t xml:space="preserve">Cataguases/MG, ________ de ________________ de </w:t>
      </w:r>
      <w:r>
        <w:rPr>
          <w:rFonts w:ascii="Arial" w:hAnsi="Arial" w:cs="Arial"/>
          <w:sz w:val="20"/>
          <w:szCs w:val="20"/>
          <w:lang w:val="pt-BR"/>
        </w:rPr>
        <w:t>2025</w:t>
      </w:r>
      <w:r>
        <w:rPr>
          <w:rFonts w:ascii="Arial" w:hAnsi="Arial" w:cs="Arial"/>
          <w:sz w:val="20"/>
          <w:szCs w:val="20"/>
        </w:rPr>
        <w:t>.</w:t>
      </w:r>
    </w:p>
    <w:p w14:paraId="504B84B3">
      <w:pPr>
        <w:pStyle w:val="328"/>
        <w:spacing w:before="0" w:after="0"/>
        <w:jc w:val="center"/>
        <w:rPr>
          <w:rFonts w:ascii="Arial" w:hAnsi="Arial" w:cs="Arial"/>
          <w:sz w:val="20"/>
          <w:szCs w:val="20"/>
        </w:rPr>
      </w:pPr>
    </w:p>
    <w:p w14:paraId="29D2A1B1">
      <w:pPr>
        <w:pStyle w:val="328"/>
        <w:spacing w:before="0" w:after="0"/>
        <w:jc w:val="center"/>
        <w:rPr>
          <w:rFonts w:ascii="Arial" w:hAnsi="Arial" w:cs="Arial"/>
          <w:sz w:val="20"/>
          <w:szCs w:val="20"/>
        </w:rPr>
      </w:pPr>
    </w:p>
    <w:p w14:paraId="17736B0E">
      <w:pPr>
        <w:pStyle w:val="328"/>
        <w:spacing w:before="0" w:after="0"/>
        <w:jc w:val="both"/>
        <w:rPr>
          <w:rFonts w:ascii="Arial" w:hAnsi="Arial" w:cs="Arial"/>
          <w:sz w:val="20"/>
          <w:szCs w:val="20"/>
        </w:rPr>
      </w:pPr>
    </w:p>
    <w:p w14:paraId="5386A8D4">
      <w:pPr>
        <w:pStyle w:val="328"/>
        <w:spacing w:before="0" w:after="0"/>
        <w:jc w:val="center"/>
        <w:rPr>
          <w:rFonts w:ascii="Arial" w:hAnsi="Arial" w:cs="Arial"/>
          <w:sz w:val="20"/>
          <w:szCs w:val="20"/>
        </w:rPr>
      </w:pPr>
    </w:p>
    <w:p w14:paraId="07D619F6">
      <w:pPr>
        <w:pStyle w:val="328"/>
        <w:spacing w:before="0" w:after="0"/>
        <w:jc w:val="center"/>
        <w:rPr>
          <w:rFonts w:ascii="Arial" w:hAnsi="Arial" w:cs="Arial"/>
          <w:sz w:val="20"/>
          <w:szCs w:val="20"/>
        </w:rPr>
      </w:pPr>
      <w:r>
        <w:rPr>
          <w:rFonts w:ascii="Arial" w:hAnsi="Arial" w:cs="Arial"/>
          <w:sz w:val="20"/>
          <w:szCs w:val="20"/>
        </w:rPr>
        <w:t>____________________________________</w:t>
      </w:r>
    </w:p>
    <w:p w14:paraId="6846CAF3">
      <w:pPr>
        <w:pStyle w:val="328"/>
        <w:spacing w:before="0" w:after="0"/>
        <w:jc w:val="center"/>
        <w:rPr>
          <w:rFonts w:ascii="Arial" w:hAnsi="Arial" w:cs="Arial"/>
          <w:sz w:val="20"/>
          <w:szCs w:val="20"/>
        </w:rPr>
      </w:pPr>
      <w:r>
        <w:rPr>
          <w:rFonts w:ascii="Arial" w:hAnsi="Arial" w:cs="Arial"/>
          <w:sz w:val="20"/>
          <w:szCs w:val="20"/>
        </w:rPr>
        <w:t>Ass. Responsável</w:t>
      </w:r>
    </w:p>
    <w:p w14:paraId="2EB5156B">
      <w:pPr>
        <w:autoSpaceDE w:val="0"/>
        <w:spacing w:line="200" w:lineRule="atLeast"/>
        <w:rPr>
          <w:rFonts w:ascii="Arial" w:hAnsi="Arial" w:cs="Arial"/>
          <w:sz w:val="20"/>
          <w:szCs w:val="20"/>
          <w:lang w:eastAsia="ar-SA"/>
        </w:rPr>
      </w:pPr>
    </w:p>
    <w:p w14:paraId="2FB720C4">
      <w:pPr>
        <w:pStyle w:val="328"/>
        <w:spacing w:before="0" w:after="0"/>
        <w:jc w:val="both"/>
        <w:rPr>
          <w:rFonts w:ascii="Arial" w:hAnsi="Arial" w:cs="Arial"/>
          <w:sz w:val="20"/>
          <w:szCs w:val="20"/>
        </w:rPr>
      </w:pPr>
      <w:r>
        <w:rPr>
          <w:rFonts w:ascii="Arial" w:hAnsi="Arial" w:cs="Arial"/>
          <w:sz w:val="20"/>
          <w:szCs w:val="20"/>
        </w:rPr>
        <w:tab/>
      </w:r>
      <w:r>
        <w:rPr>
          <w:rFonts w:ascii="Arial" w:hAnsi="Arial" w:cs="Arial"/>
          <w:sz w:val="20"/>
          <w:szCs w:val="20"/>
        </w:rPr>
        <w:tab/>
      </w:r>
    </w:p>
    <w:p w14:paraId="748F8A93">
      <w:pPr>
        <w:autoSpaceDE w:val="0"/>
        <w:autoSpaceDN w:val="0"/>
        <w:adjustRightInd w:val="0"/>
        <w:rPr>
          <w:rFonts w:ascii="Arial" w:hAnsi="Arial" w:eastAsia="Calibri" w:cs="Arial"/>
          <w:color w:val="000000"/>
          <w:sz w:val="20"/>
          <w:szCs w:val="20"/>
          <w:lang w:eastAsia="en-US"/>
        </w:rPr>
      </w:pPr>
    </w:p>
    <w:p w14:paraId="0F8E64DF">
      <w:pPr>
        <w:jc w:val="both"/>
        <w:rPr>
          <w:rFonts w:ascii="Arial" w:hAnsi="Arial" w:eastAsia="Calibri" w:cs="Arial"/>
          <w:color w:val="000000"/>
          <w:sz w:val="20"/>
          <w:szCs w:val="20"/>
          <w:lang w:eastAsia="en-US"/>
        </w:rPr>
      </w:pPr>
      <w:r>
        <w:rPr>
          <w:rFonts w:ascii="Arial" w:hAnsi="Arial" w:eastAsia="Calibri" w:cs="Arial"/>
          <w:b/>
          <w:bCs/>
          <w:color w:val="000000"/>
          <w:sz w:val="20"/>
          <w:szCs w:val="20"/>
          <w:lang w:eastAsia="en-US"/>
        </w:rPr>
        <w:t xml:space="preserve">OBS: </w:t>
      </w:r>
      <w:r>
        <w:rPr>
          <w:rFonts w:ascii="Arial" w:hAnsi="Arial" w:eastAsia="Calibri" w:cs="Arial"/>
          <w:color w:val="000000"/>
          <w:sz w:val="20"/>
          <w:szCs w:val="20"/>
          <w:lang w:eastAsia="en-US"/>
        </w:rPr>
        <w:t xml:space="preserve">1) Esta declaração deverá ser anexada no Sistema do Compras.gov.br como anexo da habilitação. </w:t>
      </w:r>
    </w:p>
    <w:p w14:paraId="1091ECD3">
      <w:pPr>
        <w:ind w:left="-284" w:firstLine="284"/>
        <w:jc w:val="both"/>
        <w:rPr>
          <w:rFonts w:ascii="Arial" w:hAnsi="Arial" w:cs="Arial" w:eastAsiaTheme="minorHAnsi"/>
          <w:sz w:val="20"/>
          <w:szCs w:val="20"/>
        </w:rPr>
      </w:pPr>
    </w:p>
    <w:p w14:paraId="65F3D728">
      <w:pPr>
        <w:ind w:left="-284" w:firstLine="284"/>
        <w:jc w:val="both"/>
        <w:rPr>
          <w:rFonts w:ascii="Arial" w:hAnsi="Arial" w:cs="Arial" w:eastAsiaTheme="minorHAnsi"/>
          <w:sz w:val="20"/>
          <w:szCs w:val="20"/>
        </w:rPr>
      </w:pPr>
    </w:p>
    <w:p w14:paraId="773E4952">
      <w:pPr>
        <w:ind w:left="-284" w:firstLine="284"/>
        <w:jc w:val="both"/>
        <w:rPr>
          <w:rFonts w:ascii="Arial" w:hAnsi="Arial" w:cs="Arial" w:eastAsiaTheme="minorHAnsi"/>
          <w:sz w:val="20"/>
          <w:szCs w:val="20"/>
        </w:rPr>
      </w:pPr>
    </w:p>
    <w:p w14:paraId="13037DDE">
      <w:pPr>
        <w:ind w:left="-284" w:firstLine="284"/>
        <w:jc w:val="both"/>
        <w:rPr>
          <w:rFonts w:ascii="Arial" w:hAnsi="Arial" w:cs="Arial" w:eastAsiaTheme="minorHAnsi"/>
          <w:sz w:val="20"/>
          <w:szCs w:val="20"/>
        </w:rPr>
      </w:pPr>
    </w:p>
    <w:p w14:paraId="1A1B4AFC">
      <w:pPr>
        <w:ind w:left="-284" w:firstLine="284"/>
        <w:jc w:val="both"/>
        <w:rPr>
          <w:rFonts w:ascii="Arial" w:hAnsi="Arial" w:cs="Arial" w:eastAsiaTheme="minorHAnsi"/>
          <w:sz w:val="20"/>
          <w:szCs w:val="20"/>
        </w:rPr>
      </w:pPr>
    </w:p>
    <w:p w14:paraId="2AE78DB6">
      <w:pPr>
        <w:ind w:left="-284" w:firstLine="284"/>
        <w:jc w:val="both"/>
        <w:rPr>
          <w:rFonts w:ascii="Arial" w:hAnsi="Arial" w:cs="Arial" w:eastAsiaTheme="minorHAnsi"/>
          <w:sz w:val="20"/>
          <w:szCs w:val="20"/>
        </w:rPr>
      </w:pPr>
    </w:p>
    <w:p w14:paraId="7CD44C7E">
      <w:pPr>
        <w:ind w:left="-284" w:firstLine="284"/>
        <w:jc w:val="both"/>
        <w:rPr>
          <w:rFonts w:ascii="Arial" w:hAnsi="Arial" w:cs="Arial" w:eastAsiaTheme="minorHAnsi"/>
          <w:sz w:val="20"/>
          <w:szCs w:val="20"/>
        </w:rPr>
      </w:pPr>
    </w:p>
    <w:p w14:paraId="251F83D8">
      <w:pPr>
        <w:ind w:left="-284" w:firstLine="284"/>
        <w:jc w:val="both"/>
        <w:rPr>
          <w:rFonts w:ascii="Arial" w:hAnsi="Arial" w:cs="Arial" w:eastAsiaTheme="minorHAnsi"/>
          <w:sz w:val="20"/>
          <w:szCs w:val="20"/>
        </w:rPr>
      </w:pPr>
    </w:p>
    <w:p w14:paraId="54A8CD23">
      <w:pPr>
        <w:ind w:left="-284" w:firstLine="284"/>
        <w:jc w:val="both"/>
        <w:rPr>
          <w:rFonts w:ascii="Arial" w:hAnsi="Arial" w:cs="Arial" w:eastAsiaTheme="minorHAnsi"/>
          <w:sz w:val="20"/>
          <w:szCs w:val="20"/>
        </w:rPr>
      </w:pPr>
    </w:p>
    <w:p w14:paraId="5E15F0E8">
      <w:pPr>
        <w:ind w:left="-284" w:firstLine="284"/>
        <w:jc w:val="both"/>
        <w:rPr>
          <w:rFonts w:ascii="Arial" w:hAnsi="Arial" w:cs="Arial" w:eastAsiaTheme="minorHAnsi"/>
          <w:sz w:val="20"/>
          <w:szCs w:val="20"/>
        </w:rPr>
      </w:pPr>
    </w:p>
    <w:p w14:paraId="3DABD275">
      <w:pPr>
        <w:ind w:left="-284" w:firstLine="284"/>
        <w:jc w:val="both"/>
        <w:rPr>
          <w:rFonts w:ascii="Arial" w:hAnsi="Arial" w:cs="Arial" w:eastAsiaTheme="minorHAnsi"/>
          <w:sz w:val="20"/>
          <w:szCs w:val="20"/>
        </w:rPr>
      </w:pPr>
    </w:p>
    <w:p w14:paraId="3C1768C8">
      <w:pPr>
        <w:ind w:left="-284" w:firstLine="284"/>
        <w:jc w:val="both"/>
        <w:rPr>
          <w:rFonts w:ascii="Arial" w:hAnsi="Arial" w:cs="Arial" w:eastAsiaTheme="minorHAnsi"/>
          <w:sz w:val="20"/>
          <w:szCs w:val="20"/>
        </w:rPr>
      </w:pPr>
    </w:p>
    <w:p w14:paraId="601A2259">
      <w:pPr>
        <w:ind w:left="-284" w:firstLine="284"/>
        <w:jc w:val="both"/>
        <w:rPr>
          <w:rFonts w:ascii="Arial" w:hAnsi="Arial" w:cs="Arial" w:eastAsiaTheme="minorHAnsi"/>
          <w:sz w:val="20"/>
          <w:szCs w:val="20"/>
        </w:rPr>
      </w:pPr>
    </w:p>
    <w:p w14:paraId="341BAC1C">
      <w:pPr>
        <w:ind w:left="-284" w:firstLine="284"/>
        <w:jc w:val="both"/>
        <w:rPr>
          <w:rFonts w:ascii="Arial" w:hAnsi="Arial" w:cs="Arial" w:eastAsiaTheme="minorHAnsi"/>
          <w:sz w:val="20"/>
          <w:szCs w:val="20"/>
        </w:rPr>
      </w:pPr>
    </w:p>
    <w:p w14:paraId="322CD153">
      <w:pPr>
        <w:ind w:left="-284" w:firstLine="284"/>
        <w:jc w:val="both"/>
        <w:rPr>
          <w:rFonts w:ascii="Arial" w:hAnsi="Arial" w:cs="Arial" w:eastAsiaTheme="minorHAnsi"/>
          <w:sz w:val="20"/>
          <w:szCs w:val="20"/>
        </w:rPr>
      </w:pPr>
    </w:p>
    <w:p w14:paraId="4E277E56">
      <w:pPr>
        <w:ind w:left="-284" w:firstLine="284"/>
        <w:jc w:val="both"/>
        <w:rPr>
          <w:rFonts w:ascii="Arial" w:hAnsi="Arial" w:cs="Arial" w:eastAsiaTheme="minorHAnsi"/>
          <w:sz w:val="20"/>
          <w:szCs w:val="20"/>
        </w:rPr>
      </w:pPr>
    </w:p>
    <w:p w14:paraId="32C3BA30">
      <w:pPr>
        <w:ind w:left="-284" w:firstLine="284"/>
        <w:jc w:val="both"/>
        <w:rPr>
          <w:rFonts w:ascii="Arial" w:hAnsi="Arial" w:cs="Arial" w:eastAsiaTheme="minorHAnsi"/>
          <w:sz w:val="20"/>
          <w:szCs w:val="20"/>
        </w:rPr>
      </w:pPr>
    </w:p>
    <w:p w14:paraId="189DEB05">
      <w:pPr>
        <w:ind w:left="-284" w:firstLine="284"/>
        <w:jc w:val="both"/>
        <w:rPr>
          <w:rFonts w:ascii="Arial" w:hAnsi="Arial" w:cs="Arial" w:eastAsiaTheme="minorHAnsi"/>
          <w:sz w:val="20"/>
          <w:szCs w:val="20"/>
        </w:rPr>
      </w:pPr>
    </w:p>
    <w:p w14:paraId="56D44F7E">
      <w:pPr>
        <w:ind w:left="-284" w:firstLine="284"/>
        <w:jc w:val="both"/>
        <w:rPr>
          <w:rFonts w:ascii="Arial" w:hAnsi="Arial" w:cs="Arial" w:eastAsiaTheme="minorHAnsi"/>
          <w:sz w:val="20"/>
          <w:szCs w:val="20"/>
        </w:rPr>
      </w:pPr>
    </w:p>
    <w:p w14:paraId="324853AA">
      <w:pPr>
        <w:ind w:left="-284" w:firstLine="284"/>
        <w:jc w:val="both"/>
        <w:rPr>
          <w:rFonts w:ascii="Arial" w:hAnsi="Arial" w:cs="Arial" w:eastAsiaTheme="minorHAnsi"/>
          <w:sz w:val="20"/>
          <w:szCs w:val="20"/>
        </w:rPr>
      </w:pPr>
    </w:p>
    <w:p w14:paraId="16DE7024">
      <w:pPr>
        <w:jc w:val="both"/>
        <w:rPr>
          <w:rFonts w:ascii="Arial" w:hAnsi="Arial" w:cs="Arial" w:eastAsiaTheme="minorHAnsi"/>
          <w:sz w:val="20"/>
          <w:szCs w:val="20"/>
        </w:rPr>
      </w:pPr>
    </w:p>
    <w:p w14:paraId="617D6608">
      <w:pPr>
        <w:ind w:left="-284" w:firstLine="284"/>
        <w:jc w:val="both"/>
        <w:rPr>
          <w:rFonts w:hint="default" w:ascii="Arial" w:hAnsi="Arial" w:cs="Arial" w:eastAsiaTheme="minorHAnsi"/>
          <w:sz w:val="18"/>
          <w:szCs w:val="18"/>
        </w:rPr>
      </w:pPr>
    </w:p>
    <w:p w14:paraId="185B832D">
      <w:pPr>
        <w:jc w:val="center"/>
        <w:rPr>
          <w:rFonts w:hint="default" w:ascii="Arial" w:hAnsi="Arial" w:cs="Arial"/>
          <w:b/>
          <w:bCs/>
          <w:sz w:val="24"/>
          <w:szCs w:val="24"/>
          <w:lang w:val="pt-BR"/>
        </w:rPr>
      </w:pPr>
      <w:r>
        <w:rPr>
          <w:rFonts w:hint="default" w:ascii="Arial" w:hAnsi="Arial" w:cs="Arial"/>
          <w:b/>
          <w:bCs/>
          <w:sz w:val="24"/>
          <w:szCs w:val="24"/>
        </w:rPr>
        <w:t>ANEXO X</w:t>
      </w:r>
      <w:r>
        <w:rPr>
          <w:rFonts w:hint="default" w:ascii="Arial" w:hAnsi="Arial" w:cs="Arial"/>
          <w:b/>
          <w:bCs/>
          <w:sz w:val="24"/>
          <w:szCs w:val="24"/>
          <w:lang w:val="pt-BR"/>
        </w:rPr>
        <w:t>I</w:t>
      </w:r>
    </w:p>
    <w:p w14:paraId="52F0569A">
      <w:pPr>
        <w:jc w:val="center"/>
        <w:rPr>
          <w:rFonts w:hint="default" w:ascii="Arial" w:hAnsi="Arial" w:cs="Arial"/>
          <w:b/>
          <w:bCs/>
          <w:sz w:val="18"/>
          <w:szCs w:val="18"/>
        </w:rPr>
      </w:pPr>
    </w:p>
    <w:p w14:paraId="42A22840">
      <w:pPr>
        <w:jc w:val="center"/>
        <w:rPr>
          <w:rFonts w:hint="default" w:ascii="Arial" w:hAnsi="Arial" w:cs="Arial"/>
          <w:b/>
          <w:bCs/>
          <w:lang w:val="pt-BR"/>
        </w:rPr>
      </w:pPr>
      <w:r>
        <w:rPr>
          <w:rFonts w:ascii="Arial" w:hAnsi="Arial" w:cs="Arial"/>
          <w:b/>
          <w:bCs/>
        </w:rPr>
        <w:t xml:space="preserve">Processo Licitatório n° </w:t>
      </w:r>
      <w:r>
        <w:rPr>
          <w:rFonts w:hint="default" w:ascii="Arial" w:hAnsi="Arial" w:cs="Arial"/>
          <w:b/>
          <w:bCs/>
          <w:lang w:val="pt-BR"/>
        </w:rPr>
        <w:t>065/2025</w:t>
      </w:r>
    </w:p>
    <w:p w14:paraId="726868F8">
      <w:pPr>
        <w:jc w:val="center"/>
        <w:rPr>
          <w:rFonts w:hint="default" w:ascii="Arial" w:hAnsi="Arial" w:cs="Arial"/>
          <w:b/>
          <w:bCs/>
          <w:lang w:val="pt-BR"/>
        </w:rPr>
      </w:pPr>
      <w:r>
        <w:rPr>
          <w:rFonts w:ascii="Arial" w:hAnsi="Arial" w:cs="Arial"/>
          <w:b/>
          <w:bCs/>
        </w:rPr>
        <w:t xml:space="preserve">Pregão Eletrônico n° </w:t>
      </w:r>
      <w:r>
        <w:rPr>
          <w:rFonts w:hint="default" w:ascii="Arial" w:hAnsi="Arial" w:cs="Arial"/>
          <w:b/>
          <w:bCs/>
          <w:lang w:val="pt-BR"/>
        </w:rPr>
        <w:t>036/2025</w:t>
      </w:r>
    </w:p>
    <w:p w14:paraId="4DC65076">
      <w:pPr>
        <w:jc w:val="center"/>
        <w:rPr>
          <w:rFonts w:hint="default" w:ascii="Arial" w:hAnsi="Arial" w:cs="Arial"/>
          <w:b/>
          <w:bCs/>
          <w:lang w:val="pt-BR"/>
        </w:rPr>
      </w:pPr>
      <w:r>
        <w:rPr>
          <w:rFonts w:ascii="Arial" w:hAnsi="Arial" w:cs="Arial"/>
          <w:b/>
          <w:bCs/>
        </w:rPr>
        <w:t xml:space="preserve">Registro de Preços n° </w:t>
      </w:r>
      <w:r>
        <w:rPr>
          <w:rFonts w:hint="default" w:ascii="Arial" w:hAnsi="Arial" w:cs="Arial"/>
          <w:b/>
          <w:bCs/>
          <w:lang w:val="pt-BR"/>
        </w:rPr>
        <w:t>034/2025</w:t>
      </w:r>
    </w:p>
    <w:p w14:paraId="4B4B1E1D">
      <w:pPr>
        <w:jc w:val="center"/>
        <w:rPr>
          <w:rFonts w:hint="default" w:ascii="Arial" w:hAnsi="Arial" w:cs="Arial"/>
          <w:b/>
          <w:bCs/>
          <w:lang w:val="pt-BR"/>
        </w:rPr>
      </w:pPr>
    </w:p>
    <w:p w14:paraId="6E63711B">
      <w:pPr>
        <w:spacing w:line="200" w:lineRule="atLeast"/>
        <w:jc w:val="center"/>
        <w:rPr>
          <w:rFonts w:hint="default" w:ascii="Arial" w:hAnsi="Arial" w:cs="Arial"/>
          <w:b/>
          <w:sz w:val="24"/>
          <w:szCs w:val="24"/>
          <w:lang w:eastAsia="ar-SA"/>
        </w:rPr>
      </w:pPr>
    </w:p>
    <w:p w14:paraId="6A3CF805">
      <w:pPr>
        <w:spacing w:line="200" w:lineRule="atLeast"/>
        <w:jc w:val="center"/>
        <w:rPr>
          <w:rFonts w:hint="default" w:ascii="Arial" w:hAnsi="Arial" w:cs="Arial"/>
          <w:b/>
          <w:sz w:val="18"/>
          <w:szCs w:val="18"/>
          <w:lang w:eastAsia="ar-SA"/>
        </w:rPr>
      </w:pPr>
    </w:p>
    <w:p w14:paraId="679A0507">
      <w:pPr>
        <w:spacing w:line="200" w:lineRule="atLeast"/>
        <w:jc w:val="center"/>
        <w:rPr>
          <w:rFonts w:hint="default" w:ascii="Arial" w:hAnsi="Arial" w:cs="Arial"/>
          <w:b/>
          <w:sz w:val="18"/>
          <w:szCs w:val="18"/>
          <w:lang w:eastAsia="ar-SA"/>
        </w:rPr>
      </w:pPr>
    </w:p>
    <w:p w14:paraId="1C4D0B16">
      <w:pPr>
        <w:autoSpaceDE w:val="0"/>
        <w:spacing w:line="200" w:lineRule="atLeast"/>
        <w:jc w:val="center"/>
        <w:rPr>
          <w:rFonts w:hint="default" w:ascii="Arial" w:hAnsi="Arial" w:cs="Arial"/>
          <w:b/>
          <w:sz w:val="18"/>
          <w:szCs w:val="18"/>
          <w:lang w:eastAsia="ar-SA"/>
        </w:rPr>
      </w:pPr>
      <w:r>
        <w:rPr>
          <w:rFonts w:hint="default" w:ascii="Arial" w:hAnsi="Arial" w:cs="Arial"/>
          <w:b/>
          <w:sz w:val="18"/>
          <w:szCs w:val="18"/>
          <w:lang w:eastAsia="ar-SA"/>
        </w:rPr>
        <w:t>MODELO DE DECLARAÇÃO</w:t>
      </w:r>
    </w:p>
    <w:p w14:paraId="5B8AE90A">
      <w:pPr>
        <w:autoSpaceDE w:val="0"/>
        <w:spacing w:line="200" w:lineRule="atLeast"/>
        <w:jc w:val="center"/>
        <w:rPr>
          <w:rFonts w:hint="default" w:ascii="Arial" w:hAnsi="Arial" w:cs="Arial"/>
          <w:b/>
          <w:bCs/>
          <w:sz w:val="18"/>
          <w:szCs w:val="18"/>
          <w:lang w:eastAsia="ar-SA"/>
        </w:rPr>
      </w:pPr>
    </w:p>
    <w:p w14:paraId="54ADE2AC">
      <w:pPr>
        <w:autoSpaceDE w:val="0"/>
        <w:spacing w:line="200" w:lineRule="atLeast"/>
        <w:rPr>
          <w:rFonts w:hint="default" w:ascii="Arial" w:hAnsi="Arial" w:cs="Arial"/>
          <w:b/>
          <w:bCs/>
          <w:sz w:val="18"/>
          <w:szCs w:val="18"/>
          <w:lang w:eastAsia="ar-SA"/>
        </w:rPr>
      </w:pPr>
    </w:p>
    <w:p w14:paraId="791C1091">
      <w:pPr>
        <w:autoSpaceDE w:val="0"/>
        <w:spacing w:line="200" w:lineRule="atLeast"/>
        <w:rPr>
          <w:rFonts w:hint="default" w:ascii="Arial" w:hAnsi="Arial" w:cs="Arial"/>
          <w:b/>
          <w:bCs/>
          <w:sz w:val="18"/>
          <w:szCs w:val="18"/>
          <w:lang w:eastAsia="ar-SA"/>
        </w:rPr>
      </w:pPr>
    </w:p>
    <w:p w14:paraId="68DD1070">
      <w:pPr>
        <w:pStyle w:val="14"/>
        <w:spacing w:line="360" w:lineRule="auto"/>
        <w:ind w:left="0" w:leftChars="0" w:firstLine="1440" w:firstLineChars="0"/>
        <w:jc w:val="both"/>
        <w:rPr>
          <w:rFonts w:hint="default" w:ascii="Arial" w:hAnsi="Arial" w:cs="Arial"/>
          <w:sz w:val="18"/>
          <w:szCs w:val="18"/>
        </w:rPr>
      </w:pPr>
      <w:r>
        <w:rPr>
          <w:rFonts w:hint="default" w:ascii="Arial" w:hAnsi="Arial" w:cs="Arial"/>
          <w:sz w:val="18"/>
          <w:szCs w:val="18"/>
        </w:rPr>
        <w:t>A Empresa _________________________________ inscrita no CNPJ sob  nº_________________________________,sediada (endereço completo), _______________________________________por seu representante abaixo assinado.</w:t>
      </w:r>
    </w:p>
    <w:p w14:paraId="5AA74C8D">
      <w:pPr>
        <w:autoSpaceDE w:val="0"/>
        <w:spacing w:line="360" w:lineRule="auto"/>
        <w:rPr>
          <w:rFonts w:hint="default" w:ascii="Arial" w:hAnsi="Arial" w:cs="Arial"/>
          <w:sz w:val="18"/>
          <w:szCs w:val="18"/>
          <w:lang w:eastAsia="ar-SA"/>
        </w:rPr>
      </w:pPr>
      <w:r>
        <w:rPr>
          <w:rFonts w:hint="default" w:ascii="Arial" w:hAnsi="Arial" w:cs="Arial"/>
          <w:sz w:val="18"/>
          <w:szCs w:val="18"/>
          <w:lang w:eastAsia="ar-SA"/>
        </w:rPr>
        <w:t xml:space="preserve">                                    </w:t>
      </w:r>
    </w:p>
    <w:p w14:paraId="029C9CF3">
      <w:pPr>
        <w:tabs>
          <w:tab w:val="left" w:pos="567"/>
          <w:tab w:val="left" w:pos="1134"/>
          <w:tab w:val="left" w:pos="1418"/>
          <w:tab w:val="left" w:pos="2410"/>
          <w:tab w:val="left" w:pos="2552"/>
        </w:tabs>
        <w:spacing w:line="360" w:lineRule="auto"/>
        <w:jc w:val="both"/>
        <w:rPr>
          <w:rFonts w:hint="default" w:ascii="Arial" w:hAnsi="Arial" w:cs="Arial"/>
          <w:sz w:val="18"/>
          <w:szCs w:val="18"/>
        </w:rPr>
      </w:pPr>
      <w:r>
        <w:rPr>
          <w:rFonts w:hint="default" w:ascii="Arial" w:hAnsi="Arial" w:cs="Arial"/>
          <w:sz w:val="18"/>
          <w:szCs w:val="18"/>
          <w:lang w:val="pt-BR" w:eastAsia="ar-SA"/>
        </w:rPr>
        <w:tab/>
      </w:r>
      <w:r>
        <w:rPr>
          <w:rFonts w:hint="default" w:ascii="Arial" w:hAnsi="Arial" w:cs="Arial"/>
          <w:sz w:val="18"/>
          <w:szCs w:val="18"/>
          <w:lang w:val="pt-BR" w:eastAsia="ar-SA"/>
        </w:rPr>
        <w:tab/>
      </w:r>
      <w:r>
        <w:rPr>
          <w:rFonts w:hint="default" w:ascii="Arial" w:hAnsi="Arial" w:cs="Arial"/>
          <w:sz w:val="18"/>
          <w:szCs w:val="18"/>
          <w:lang w:val="pt-BR" w:eastAsia="ar-SA"/>
        </w:rPr>
        <w:tab/>
      </w:r>
      <w:r>
        <w:rPr>
          <w:rFonts w:hint="default" w:ascii="Arial" w:hAnsi="Arial" w:cs="Arial"/>
          <w:b/>
          <w:bCs/>
          <w:sz w:val="18"/>
          <w:szCs w:val="18"/>
        </w:rPr>
        <w:t>DECLARA</w:t>
      </w:r>
      <w:r>
        <w:rPr>
          <w:rFonts w:hint="default" w:ascii="Arial" w:hAnsi="Arial" w:cs="Arial"/>
          <w:sz w:val="18"/>
          <w:szCs w:val="18"/>
        </w:rPr>
        <w:t>, para fins do disposto no inciso V</w:t>
      </w:r>
      <w:r>
        <w:rPr>
          <w:rFonts w:hint="default" w:ascii="Arial" w:hAnsi="Arial" w:cs="Arial"/>
          <w:sz w:val="18"/>
          <w:szCs w:val="18"/>
          <w:lang w:val="pt-BR"/>
        </w:rPr>
        <w:t>I</w:t>
      </w:r>
      <w:r>
        <w:rPr>
          <w:rFonts w:hint="default" w:ascii="Arial" w:hAnsi="Arial" w:cs="Arial"/>
          <w:sz w:val="18"/>
          <w:szCs w:val="18"/>
        </w:rPr>
        <w:t xml:space="preserve"> do art </w:t>
      </w:r>
      <w:r>
        <w:rPr>
          <w:rFonts w:hint="default" w:ascii="Arial" w:hAnsi="Arial" w:cs="Arial"/>
          <w:sz w:val="18"/>
          <w:szCs w:val="18"/>
          <w:lang w:val="pt-BR"/>
        </w:rPr>
        <w:t>68</w:t>
      </w:r>
      <w:r>
        <w:rPr>
          <w:rFonts w:hint="default" w:ascii="Arial" w:hAnsi="Arial" w:cs="Arial"/>
          <w:sz w:val="18"/>
          <w:szCs w:val="18"/>
        </w:rPr>
        <w:t xml:space="preserve"> da Lei nº </w:t>
      </w:r>
      <w:r>
        <w:rPr>
          <w:rFonts w:hint="default" w:ascii="Arial" w:hAnsi="Arial" w:cs="Arial"/>
          <w:sz w:val="18"/>
          <w:szCs w:val="18"/>
          <w:lang w:val="pt-BR"/>
        </w:rPr>
        <w:t>14.133</w:t>
      </w:r>
      <w:r>
        <w:rPr>
          <w:rFonts w:hint="default" w:ascii="Arial" w:hAnsi="Arial" w:cs="Arial"/>
          <w:sz w:val="18"/>
          <w:szCs w:val="18"/>
        </w:rPr>
        <w:t xml:space="preserve">, de </w:t>
      </w:r>
      <w:r>
        <w:rPr>
          <w:rFonts w:hint="default" w:ascii="Arial" w:hAnsi="Arial" w:cs="Arial"/>
          <w:sz w:val="18"/>
          <w:szCs w:val="18"/>
          <w:lang w:val="pt-BR"/>
        </w:rPr>
        <w:t>01 de abril de 2021</w:t>
      </w:r>
      <w:r>
        <w:rPr>
          <w:rFonts w:hint="default" w:ascii="Arial" w:hAnsi="Arial" w:cs="Arial"/>
          <w:sz w:val="18"/>
          <w:szCs w:val="18"/>
        </w:rPr>
        <w:t xml:space="preserve">, </w:t>
      </w:r>
      <w:r>
        <w:rPr>
          <w:rFonts w:hint="default" w:ascii="Arial" w:hAnsi="Arial" w:cs="Arial"/>
          <w:sz w:val="18"/>
          <w:szCs w:val="18"/>
          <w:lang w:val="pt-BR"/>
        </w:rPr>
        <w:t xml:space="preserve">em cumprimento o art. 7°, inciso XXXIII da CF/88, </w:t>
      </w:r>
      <w:r>
        <w:rPr>
          <w:rFonts w:hint="default" w:ascii="Arial" w:hAnsi="Arial" w:cs="Arial"/>
          <w:sz w:val="18"/>
          <w:szCs w:val="18"/>
        </w:rPr>
        <w:t>que não emprega menor de dezoito anos em trabalho noturno, perigoso ou insalubre e não emprega menor de dezesseis anos.</w:t>
      </w:r>
    </w:p>
    <w:p w14:paraId="6558BB53">
      <w:pPr>
        <w:tabs>
          <w:tab w:val="left" w:pos="567"/>
          <w:tab w:val="left" w:pos="1134"/>
          <w:tab w:val="left" w:pos="1418"/>
          <w:tab w:val="left" w:pos="2410"/>
          <w:tab w:val="left" w:pos="2552"/>
        </w:tabs>
        <w:spacing w:line="360" w:lineRule="auto"/>
        <w:jc w:val="both"/>
        <w:rPr>
          <w:rFonts w:hint="default" w:ascii="Arial" w:hAnsi="Arial" w:cs="Arial"/>
          <w:sz w:val="18"/>
          <w:szCs w:val="18"/>
        </w:rPr>
      </w:pPr>
      <w:r>
        <w:rPr>
          <w:rFonts w:hint="default" w:ascii="Arial" w:hAnsi="Arial" w:cs="Arial"/>
          <w:sz w:val="18"/>
          <w:szCs w:val="18"/>
        </w:rPr>
        <w:t>Ressalva: emprega menor, a partir de quatorze anos, na condição de aprendiz (       ).</w:t>
      </w:r>
    </w:p>
    <w:p w14:paraId="50FD7B81">
      <w:pPr>
        <w:pStyle w:val="220"/>
        <w:numPr>
          <w:ilvl w:val="0"/>
          <w:numId w:val="0"/>
        </w:numPr>
        <w:tabs>
          <w:tab w:val="left" w:pos="428"/>
          <w:tab w:val="left" w:pos="960"/>
        </w:tabs>
        <w:spacing w:before="1" w:line="360" w:lineRule="auto"/>
        <w:ind w:right="192" w:rightChars="0"/>
        <w:jc w:val="both"/>
        <w:rPr>
          <w:rFonts w:hint="default" w:ascii="Arial" w:hAnsi="Arial" w:cs="Arial"/>
          <w:sz w:val="18"/>
          <w:szCs w:val="18"/>
          <w:lang w:val="pt-BR" w:eastAsia="ar-SA"/>
        </w:rPr>
      </w:pPr>
      <w:r>
        <w:rPr>
          <w:rFonts w:hint="default" w:ascii="Arial" w:hAnsi="Arial" w:cs="Arial"/>
          <w:sz w:val="18"/>
          <w:szCs w:val="18"/>
          <w:lang w:val="pt-BR"/>
        </w:rPr>
        <w:t>.</w:t>
      </w:r>
    </w:p>
    <w:p w14:paraId="3999AEA9">
      <w:pPr>
        <w:pStyle w:val="328"/>
        <w:spacing w:before="0" w:after="0"/>
        <w:jc w:val="center"/>
        <w:rPr>
          <w:rFonts w:hint="default" w:ascii="Arial" w:hAnsi="Arial" w:cs="Arial"/>
          <w:sz w:val="18"/>
          <w:szCs w:val="18"/>
        </w:rPr>
      </w:pPr>
    </w:p>
    <w:p w14:paraId="107C6504">
      <w:pPr>
        <w:autoSpaceDE w:val="0"/>
        <w:spacing w:line="200" w:lineRule="atLeast"/>
        <w:rPr>
          <w:rFonts w:hint="default" w:ascii="Arial" w:hAnsi="Arial" w:cs="Arial"/>
          <w:i/>
          <w:iCs/>
          <w:sz w:val="18"/>
          <w:szCs w:val="18"/>
          <w:lang w:eastAsia="ar-SA"/>
        </w:rPr>
      </w:pPr>
    </w:p>
    <w:p w14:paraId="4E54AEAB">
      <w:pPr>
        <w:pStyle w:val="328"/>
        <w:spacing w:before="0" w:after="0"/>
        <w:jc w:val="both"/>
        <w:rPr>
          <w:rFonts w:hint="default" w:ascii="Arial" w:hAnsi="Arial" w:cs="Arial"/>
          <w:sz w:val="18"/>
          <w:szCs w:val="18"/>
        </w:rPr>
      </w:pPr>
      <w:r>
        <w:rPr>
          <w:rFonts w:hint="default" w:ascii="Arial" w:hAnsi="Arial" w:cs="Arial"/>
          <w:sz w:val="18"/>
          <w:szCs w:val="18"/>
          <w:lang w:val="pt-BR"/>
        </w:rPr>
        <w:t>Cataguases/</w:t>
      </w:r>
      <w:r>
        <w:rPr>
          <w:rFonts w:hint="default" w:ascii="Arial" w:hAnsi="Arial" w:cs="Arial"/>
          <w:sz w:val="18"/>
          <w:szCs w:val="18"/>
        </w:rPr>
        <w:t>MG, ________ de ________________ de 20</w:t>
      </w:r>
      <w:r>
        <w:rPr>
          <w:rFonts w:hint="default" w:ascii="Arial" w:hAnsi="Arial" w:cs="Arial"/>
          <w:sz w:val="18"/>
          <w:szCs w:val="18"/>
          <w:lang w:val="pt-BR"/>
        </w:rPr>
        <w:t>25.</w:t>
      </w:r>
    </w:p>
    <w:p w14:paraId="02B62AD8">
      <w:pPr>
        <w:pStyle w:val="328"/>
        <w:spacing w:before="0" w:after="0"/>
        <w:jc w:val="center"/>
        <w:rPr>
          <w:rFonts w:hint="default" w:ascii="Arial" w:hAnsi="Arial" w:cs="Arial"/>
          <w:sz w:val="18"/>
          <w:szCs w:val="18"/>
        </w:rPr>
      </w:pPr>
    </w:p>
    <w:p w14:paraId="7F589F91">
      <w:pPr>
        <w:pStyle w:val="328"/>
        <w:spacing w:before="0" w:after="0"/>
        <w:jc w:val="center"/>
        <w:rPr>
          <w:rFonts w:hint="default" w:ascii="Arial" w:hAnsi="Arial" w:cs="Arial"/>
          <w:sz w:val="18"/>
          <w:szCs w:val="18"/>
        </w:rPr>
      </w:pPr>
    </w:p>
    <w:p w14:paraId="0B2CD333">
      <w:pPr>
        <w:pStyle w:val="328"/>
        <w:spacing w:before="0" w:after="0"/>
        <w:jc w:val="both"/>
        <w:rPr>
          <w:rFonts w:hint="default" w:ascii="Arial" w:hAnsi="Arial" w:cs="Arial"/>
          <w:sz w:val="18"/>
          <w:szCs w:val="18"/>
        </w:rPr>
      </w:pPr>
    </w:p>
    <w:p w14:paraId="6F9DFE4C">
      <w:pPr>
        <w:pStyle w:val="328"/>
        <w:spacing w:before="0" w:after="0"/>
        <w:jc w:val="center"/>
        <w:rPr>
          <w:rFonts w:hint="default" w:ascii="Arial" w:hAnsi="Arial" w:cs="Arial"/>
          <w:sz w:val="18"/>
          <w:szCs w:val="18"/>
        </w:rPr>
      </w:pPr>
    </w:p>
    <w:p w14:paraId="498FF369">
      <w:pPr>
        <w:pStyle w:val="328"/>
        <w:spacing w:before="0" w:after="0"/>
        <w:jc w:val="center"/>
        <w:rPr>
          <w:rFonts w:hint="default" w:ascii="Arial" w:hAnsi="Arial" w:cs="Arial"/>
          <w:sz w:val="18"/>
          <w:szCs w:val="18"/>
        </w:rPr>
      </w:pPr>
      <w:r>
        <w:rPr>
          <w:rFonts w:hint="default" w:ascii="Arial" w:hAnsi="Arial" w:cs="Arial"/>
          <w:sz w:val="18"/>
          <w:szCs w:val="18"/>
        </w:rPr>
        <w:t>____________________________________</w:t>
      </w:r>
    </w:p>
    <w:p w14:paraId="58D80923">
      <w:pPr>
        <w:pStyle w:val="328"/>
        <w:spacing w:before="0" w:after="0"/>
        <w:jc w:val="center"/>
        <w:rPr>
          <w:rFonts w:hint="default" w:ascii="Arial" w:hAnsi="Arial" w:cs="Arial"/>
          <w:sz w:val="18"/>
          <w:szCs w:val="18"/>
        </w:rPr>
      </w:pPr>
      <w:r>
        <w:rPr>
          <w:rFonts w:hint="default" w:ascii="Arial" w:hAnsi="Arial" w:cs="Arial"/>
          <w:sz w:val="18"/>
          <w:szCs w:val="18"/>
        </w:rPr>
        <w:t>Ass. Responsável</w:t>
      </w:r>
    </w:p>
    <w:p w14:paraId="4969DC9A">
      <w:pPr>
        <w:autoSpaceDE w:val="0"/>
        <w:spacing w:line="200" w:lineRule="atLeast"/>
        <w:rPr>
          <w:rFonts w:hint="default" w:ascii="Arial" w:hAnsi="Arial" w:cs="Arial"/>
          <w:sz w:val="18"/>
          <w:szCs w:val="18"/>
          <w:lang w:eastAsia="ar-SA"/>
        </w:rPr>
      </w:pPr>
    </w:p>
    <w:p w14:paraId="39486358">
      <w:pPr>
        <w:ind w:left="-284" w:firstLine="284"/>
        <w:jc w:val="both"/>
        <w:rPr>
          <w:rFonts w:hint="default" w:ascii="Arial" w:hAnsi="Arial" w:cs="Arial" w:eastAsiaTheme="minorHAnsi"/>
          <w:sz w:val="18"/>
          <w:szCs w:val="18"/>
        </w:rPr>
      </w:pPr>
    </w:p>
    <w:p w14:paraId="27C8DB1B">
      <w:pPr>
        <w:pStyle w:val="328"/>
        <w:spacing w:before="0" w:after="0"/>
        <w:jc w:val="center"/>
        <w:rPr>
          <w:rFonts w:hint="default" w:ascii="Arial" w:hAnsi="Arial" w:cs="Arial"/>
          <w:sz w:val="18"/>
          <w:szCs w:val="18"/>
        </w:rPr>
      </w:pPr>
    </w:p>
    <w:p w14:paraId="31AE4638">
      <w:pPr>
        <w:pStyle w:val="328"/>
        <w:spacing w:before="0" w:after="0"/>
        <w:jc w:val="both"/>
        <w:rPr>
          <w:rFonts w:hint="default" w:ascii="Arial" w:hAnsi="Arial" w:cs="Arial"/>
          <w:sz w:val="18"/>
          <w:szCs w:val="18"/>
        </w:rPr>
      </w:pPr>
      <w:r>
        <w:rPr>
          <w:rFonts w:hint="default" w:ascii="Arial" w:hAnsi="Arial" w:cs="Arial"/>
          <w:sz w:val="18"/>
          <w:szCs w:val="18"/>
        </w:rPr>
        <w:tab/>
      </w:r>
    </w:p>
    <w:p w14:paraId="1603C7F8">
      <w:pPr>
        <w:autoSpaceDE w:val="0"/>
        <w:autoSpaceDN w:val="0"/>
        <w:adjustRightInd w:val="0"/>
        <w:rPr>
          <w:rFonts w:hint="default" w:ascii="Arial" w:hAnsi="Arial" w:eastAsia="Calibri" w:cs="Arial"/>
          <w:color w:val="000000"/>
          <w:sz w:val="18"/>
          <w:szCs w:val="18"/>
          <w:lang w:eastAsia="en-US"/>
        </w:rPr>
      </w:pPr>
    </w:p>
    <w:p w14:paraId="163B5BB7">
      <w:pPr>
        <w:jc w:val="both"/>
        <w:rPr>
          <w:rFonts w:hint="default" w:ascii="Arial" w:hAnsi="Arial" w:eastAsia="Calibri" w:cs="Arial"/>
          <w:color w:val="000000"/>
          <w:sz w:val="18"/>
          <w:szCs w:val="18"/>
          <w:lang w:eastAsia="en-US"/>
        </w:rPr>
      </w:pPr>
      <w:r>
        <w:rPr>
          <w:rFonts w:hint="default" w:ascii="Arial" w:hAnsi="Arial" w:eastAsia="Calibri" w:cs="Arial"/>
          <w:b/>
          <w:bCs/>
          <w:color w:val="000000"/>
          <w:sz w:val="18"/>
          <w:szCs w:val="18"/>
          <w:lang w:eastAsia="en-US"/>
        </w:rPr>
        <w:t xml:space="preserve">OBS: </w:t>
      </w:r>
      <w:r>
        <w:rPr>
          <w:rFonts w:hint="default" w:ascii="Arial" w:hAnsi="Arial" w:eastAsia="Calibri" w:cs="Arial"/>
          <w:color w:val="000000"/>
          <w:sz w:val="18"/>
          <w:szCs w:val="18"/>
          <w:lang w:eastAsia="en-US"/>
        </w:rPr>
        <w:t xml:space="preserve">1) Esta declaração deverá ser anexada no Sistema do Compras.gov.br como anexo da habilitação. </w:t>
      </w:r>
    </w:p>
    <w:p w14:paraId="4A0B3B05">
      <w:pPr>
        <w:ind w:left="-284" w:firstLine="284"/>
        <w:jc w:val="both"/>
        <w:rPr>
          <w:rFonts w:hint="default" w:ascii="Arial" w:hAnsi="Arial" w:cs="Arial" w:eastAsiaTheme="minorHAnsi"/>
          <w:sz w:val="18"/>
          <w:szCs w:val="18"/>
        </w:rPr>
      </w:pPr>
    </w:p>
    <w:p w14:paraId="6F529323">
      <w:pPr>
        <w:ind w:left="-284" w:firstLine="284"/>
        <w:jc w:val="both"/>
        <w:rPr>
          <w:rFonts w:hint="default" w:ascii="Arial" w:hAnsi="Arial" w:cs="Arial" w:eastAsiaTheme="minorHAnsi"/>
          <w:sz w:val="18"/>
          <w:szCs w:val="18"/>
        </w:rPr>
      </w:pPr>
    </w:p>
    <w:p w14:paraId="2F79F850">
      <w:pPr>
        <w:ind w:left="-284" w:firstLine="284"/>
        <w:jc w:val="both"/>
        <w:rPr>
          <w:rFonts w:hint="default" w:ascii="Arial" w:hAnsi="Arial" w:cs="Arial" w:eastAsiaTheme="minorHAnsi"/>
          <w:sz w:val="18"/>
          <w:szCs w:val="18"/>
        </w:rPr>
      </w:pPr>
    </w:p>
    <w:p w14:paraId="5A742CEF">
      <w:pPr>
        <w:ind w:left="-284" w:firstLine="284"/>
        <w:jc w:val="both"/>
        <w:rPr>
          <w:rFonts w:hint="default" w:ascii="Arial" w:hAnsi="Arial" w:cs="Arial" w:eastAsiaTheme="minorHAnsi"/>
          <w:sz w:val="18"/>
          <w:szCs w:val="18"/>
        </w:rPr>
      </w:pPr>
    </w:p>
    <w:p w14:paraId="570FF076">
      <w:pPr>
        <w:ind w:left="-284" w:firstLine="284"/>
        <w:jc w:val="both"/>
        <w:rPr>
          <w:rFonts w:hint="default" w:ascii="Arial" w:hAnsi="Arial" w:cs="Arial" w:eastAsiaTheme="minorHAnsi"/>
          <w:sz w:val="18"/>
          <w:szCs w:val="18"/>
        </w:rPr>
      </w:pPr>
    </w:p>
    <w:p w14:paraId="0D7A31BB">
      <w:pPr>
        <w:ind w:left="-284" w:firstLine="284"/>
        <w:jc w:val="both"/>
        <w:rPr>
          <w:rFonts w:hint="default" w:ascii="Arial" w:hAnsi="Arial" w:cs="Arial" w:eastAsiaTheme="minorHAnsi"/>
          <w:sz w:val="18"/>
          <w:szCs w:val="18"/>
        </w:rPr>
      </w:pPr>
    </w:p>
    <w:p w14:paraId="51503EE8">
      <w:pPr>
        <w:ind w:left="-284" w:firstLine="284"/>
        <w:jc w:val="both"/>
        <w:rPr>
          <w:rFonts w:hint="default" w:ascii="Arial" w:hAnsi="Arial" w:cs="Arial" w:eastAsiaTheme="minorHAnsi"/>
          <w:sz w:val="18"/>
          <w:szCs w:val="18"/>
        </w:rPr>
      </w:pPr>
    </w:p>
    <w:p w14:paraId="5D9EEB6A">
      <w:pPr>
        <w:ind w:left="-284" w:firstLine="284"/>
        <w:jc w:val="both"/>
        <w:rPr>
          <w:rFonts w:hint="default" w:ascii="Arial" w:hAnsi="Arial" w:cs="Arial" w:eastAsiaTheme="minorHAnsi"/>
          <w:sz w:val="18"/>
          <w:szCs w:val="18"/>
        </w:rPr>
      </w:pPr>
    </w:p>
    <w:p w14:paraId="5C39807A">
      <w:pPr>
        <w:ind w:left="-284" w:firstLine="284"/>
        <w:jc w:val="both"/>
        <w:rPr>
          <w:rFonts w:hint="default" w:ascii="Arial" w:hAnsi="Arial" w:cs="Arial" w:eastAsiaTheme="minorHAnsi"/>
          <w:sz w:val="18"/>
          <w:szCs w:val="18"/>
        </w:rPr>
      </w:pPr>
    </w:p>
    <w:p w14:paraId="2D97400C">
      <w:pPr>
        <w:ind w:left="-284" w:firstLine="284"/>
        <w:jc w:val="both"/>
        <w:rPr>
          <w:rFonts w:hint="default" w:ascii="Arial" w:hAnsi="Arial" w:cs="Arial" w:eastAsiaTheme="minorHAnsi"/>
          <w:sz w:val="18"/>
          <w:szCs w:val="18"/>
        </w:rPr>
      </w:pPr>
    </w:p>
    <w:p w14:paraId="2CC30DF3">
      <w:pPr>
        <w:ind w:left="-284" w:firstLine="284"/>
        <w:jc w:val="both"/>
        <w:rPr>
          <w:rFonts w:hint="default" w:ascii="Arial" w:hAnsi="Arial" w:cs="Arial" w:eastAsiaTheme="minorHAnsi"/>
          <w:sz w:val="18"/>
          <w:szCs w:val="18"/>
        </w:rPr>
      </w:pPr>
    </w:p>
    <w:p w14:paraId="204449BD">
      <w:pPr>
        <w:ind w:left="-284" w:firstLine="284"/>
        <w:jc w:val="both"/>
        <w:rPr>
          <w:rFonts w:hint="default" w:ascii="Arial" w:hAnsi="Arial" w:cs="Arial" w:eastAsiaTheme="minorHAnsi"/>
          <w:sz w:val="18"/>
          <w:szCs w:val="18"/>
        </w:rPr>
      </w:pPr>
    </w:p>
    <w:p w14:paraId="2EF0B857">
      <w:pPr>
        <w:ind w:left="-284" w:firstLine="284"/>
        <w:jc w:val="both"/>
        <w:rPr>
          <w:rFonts w:hint="default" w:ascii="Arial" w:hAnsi="Arial" w:cs="Arial" w:eastAsiaTheme="minorHAnsi"/>
          <w:sz w:val="18"/>
          <w:szCs w:val="18"/>
        </w:rPr>
      </w:pPr>
    </w:p>
    <w:p w14:paraId="1EA37CAD">
      <w:pPr>
        <w:ind w:left="-284" w:firstLine="284"/>
        <w:jc w:val="both"/>
        <w:rPr>
          <w:rFonts w:hint="default" w:ascii="Arial" w:hAnsi="Arial" w:cs="Arial" w:eastAsiaTheme="minorHAnsi"/>
          <w:sz w:val="18"/>
          <w:szCs w:val="18"/>
        </w:rPr>
      </w:pPr>
    </w:p>
    <w:p w14:paraId="52859E93">
      <w:pPr>
        <w:ind w:left="-284" w:firstLine="284"/>
        <w:jc w:val="both"/>
        <w:rPr>
          <w:rFonts w:hint="default" w:ascii="Arial" w:hAnsi="Arial" w:cs="Arial" w:eastAsiaTheme="minorHAnsi"/>
          <w:sz w:val="18"/>
          <w:szCs w:val="18"/>
        </w:rPr>
      </w:pPr>
    </w:p>
    <w:p w14:paraId="2ADB8BCE">
      <w:pPr>
        <w:ind w:left="-284" w:firstLine="284"/>
        <w:jc w:val="both"/>
        <w:rPr>
          <w:rFonts w:hint="default" w:ascii="Arial" w:hAnsi="Arial" w:cs="Arial" w:eastAsiaTheme="minorHAnsi"/>
          <w:sz w:val="18"/>
          <w:szCs w:val="18"/>
        </w:rPr>
      </w:pPr>
    </w:p>
    <w:p w14:paraId="4B19F0E6">
      <w:pPr>
        <w:ind w:left="-284" w:firstLine="284"/>
        <w:jc w:val="both"/>
        <w:rPr>
          <w:rFonts w:hint="default" w:ascii="Arial" w:hAnsi="Arial" w:cs="Arial" w:eastAsiaTheme="minorHAnsi"/>
          <w:sz w:val="18"/>
          <w:szCs w:val="18"/>
        </w:rPr>
      </w:pPr>
    </w:p>
    <w:p w14:paraId="63617F12">
      <w:pPr>
        <w:ind w:left="-284" w:firstLine="284"/>
        <w:jc w:val="both"/>
        <w:rPr>
          <w:rFonts w:hint="default" w:ascii="Arial" w:hAnsi="Arial" w:cs="Arial" w:eastAsiaTheme="minorHAnsi"/>
          <w:sz w:val="18"/>
          <w:szCs w:val="18"/>
        </w:rPr>
      </w:pPr>
    </w:p>
    <w:p w14:paraId="73DB8D66">
      <w:pPr>
        <w:ind w:left="-284" w:firstLine="284"/>
        <w:jc w:val="both"/>
        <w:rPr>
          <w:rFonts w:hint="default" w:ascii="Arial" w:hAnsi="Arial" w:cs="Arial" w:eastAsiaTheme="minorHAnsi"/>
          <w:sz w:val="18"/>
          <w:szCs w:val="18"/>
        </w:rPr>
      </w:pPr>
    </w:p>
    <w:p w14:paraId="79555858">
      <w:pPr>
        <w:ind w:left="-284" w:firstLine="284"/>
        <w:jc w:val="both"/>
        <w:rPr>
          <w:rFonts w:hint="default" w:ascii="Arial" w:hAnsi="Arial" w:cs="Arial" w:eastAsiaTheme="minorHAnsi"/>
          <w:sz w:val="18"/>
          <w:szCs w:val="18"/>
        </w:rPr>
      </w:pPr>
    </w:p>
    <w:p w14:paraId="10EDF2A4">
      <w:pPr>
        <w:ind w:left="-284" w:firstLine="284"/>
        <w:jc w:val="both"/>
        <w:rPr>
          <w:rFonts w:hint="default" w:ascii="Arial" w:hAnsi="Arial" w:cs="Arial" w:eastAsiaTheme="minorHAnsi"/>
          <w:sz w:val="18"/>
          <w:szCs w:val="18"/>
        </w:rPr>
      </w:pPr>
    </w:p>
    <w:p w14:paraId="6D246FEF">
      <w:pPr>
        <w:ind w:left="-284" w:firstLine="284"/>
        <w:jc w:val="both"/>
        <w:rPr>
          <w:rFonts w:hint="default" w:ascii="Arial" w:hAnsi="Arial" w:cs="Arial" w:eastAsiaTheme="minorHAnsi"/>
          <w:sz w:val="18"/>
          <w:szCs w:val="18"/>
        </w:rPr>
      </w:pPr>
    </w:p>
    <w:p w14:paraId="5DA369CC">
      <w:pPr>
        <w:jc w:val="both"/>
        <w:rPr>
          <w:rFonts w:hint="default" w:ascii="Arial" w:hAnsi="Arial" w:cs="Arial" w:eastAsiaTheme="minorHAnsi"/>
          <w:sz w:val="18"/>
          <w:szCs w:val="18"/>
        </w:rPr>
      </w:pPr>
    </w:p>
    <w:p w14:paraId="13D4E73C">
      <w:pPr>
        <w:ind w:left="-284" w:firstLine="284"/>
        <w:jc w:val="both"/>
        <w:rPr>
          <w:rFonts w:hint="default" w:ascii="Arial" w:hAnsi="Arial" w:cs="Arial" w:eastAsiaTheme="minorHAnsi"/>
          <w:sz w:val="18"/>
          <w:szCs w:val="18"/>
        </w:rPr>
      </w:pPr>
    </w:p>
    <w:p w14:paraId="2D3614E9">
      <w:pPr>
        <w:jc w:val="center"/>
        <w:rPr>
          <w:rFonts w:hint="default" w:ascii="Arial" w:hAnsi="Arial" w:cs="Arial"/>
          <w:b/>
          <w:bCs/>
          <w:sz w:val="24"/>
          <w:szCs w:val="24"/>
        </w:rPr>
      </w:pPr>
    </w:p>
    <w:p w14:paraId="644D309A">
      <w:pPr>
        <w:jc w:val="center"/>
        <w:rPr>
          <w:rFonts w:hint="default" w:ascii="Arial" w:hAnsi="Arial" w:cs="Arial"/>
          <w:b/>
          <w:bCs/>
          <w:sz w:val="32"/>
          <w:szCs w:val="32"/>
          <w:lang w:val="pt-BR"/>
        </w:rPr>
      </w:pPr>
      <w:r>
        <w:rPr>
          <w:rFonts w:hint="default" w:ascii="Arial" w:hAnsi="Arial" w:cs="Arial"/>
          <w:b/>
          <w:bCs/>
          <w:sz w:val="32"/>
          <w:szCs w:val="32"/>
        </w:rPr>
        <w:t>ANEXO X</w:t>
      </w:r>
      <w:r>
        <w:rPr>
          <w:rFonts w:hint="default" w:ascii="Arial" w:hAnsi="Arial" w:cs="Arial"/>
          <w:b/>
          <w:bCs/>
          <w:sz w:val="32"/>
          <w:szCs w:val="32"/>
          <w:lang w:val="pt-BR"/>
        </w:rPr>
        <w:t>II</w:t>
      </w:r>
    </w:p>
    <w:p w14:paraId="6B32095C">
      <w:pPr>
        <w:jc w:val="center"/>
        <w:rPr>
          <w:rFonts w:hint="default" w:ascii="Arial" w:hAnsi="Arial" w:cs="Arial"/>
          <w:b/>
          <w:bCs/>
          <w:sz w:val="18"/>
          <w:szCs w:val="18"/>
        </w:rPr>
      </w:pPr>
    </w:p>
    <w:p w14:paraId="793E6E78">
      <w:pPr>
        <w:jc w:val="center"/>
        <w:rPr>
          <w:rFonts w:hint="default" w:ascii="Arial" w:hAnsi="Arial" w:cs="Arial"/>
          <w:b/>
          <w:bCs/>
          <w:lang w:val="pt-BR"/>
        </w:rPr>
      </w:pPr>
      <w:r>
        <w:rPr>
          <w:rFonts w:ascii="Arial" w:hAnsi="Arial" w:cs="Arial"/>
          <w:b/>
          <w:bCs/>
        </w:rPr>
        <w:t xml:space="preserve">Processo Licitatório n° </w:t>
      </w:r>
      <w:r>
        <w:rPr>
          <w:rFonts w:hint="default" w:ascii="Arial" w:hAnsi="Arial" w:cs="Arial"/>
          <w:b/>
          <w:bCs/>
          <w:lang w:val="pt-BR"/>
        </w:rPr>
        <w:t>065/2025</w:t>
      </w:r>
    </w:p>
    <w:p w14:paraId="406E3E1F">
      <w:pPr>
        <w:jc w:val="center"/>
        <w:rPr>
          <w:rFonts w:hint="default" w:ascii="Arial" w:hAnsi="Arial" w:cs="Arial"/>
          <w:b/>
          <w:bCs/>
          <w:lang w:val="pt-BR"/>
        </w:rPr>
      </w:pPr>
      <w:r>
        <w:rPr>
          <w:rFonts w:ascii="Arial" w:hAnsi="Arial" w:cs="Arial"/>
          <w:b/>
          <w:bCs/>
        </w:rPr>
        <w:t xml:space="preserve">Pregão Eletrônico n° </w:t>
      </w:r>
      <w:r>
        <w:rPr>
          <w:rFonts w:hint="default" w:ascii="Arial" w:hAnsi="Arial" w:cs="Arial"/>
          <w:b/>
          <w:bCs/>
          <w:lang w:val="pt-BR"/>
        </w:rPr>
        <w:t>036/2025</w:t>
      </w:r>
    </w:p>
    <w:p w14:paraId="6B1C38F3">
      <w:pPr>
        <w:jc w:val="center"/>
        <w:rPr>
          <w:rFonts w:hint="default" w:ascii="Arial" w:hAnsi="Arial" w:cs="Arial"/>
          <w:b/>
          <w:bCs/>
          <w:lang w:val="pt-BR"/>
        </w:rPr>
      </w:pPr>
      <w:r>
        <w:rPr>
          <w:rFonts w:ascii="Arial" w:hAnsi="Arial" w:cs="Arial"/>
          <w:b/>
          <w:bCs/>
        </w:rPr>
        <w:t xml:space="preserve">Registro de Preços n° </w:t>
      </w:r>
      <w:r>
        <w:rPr>
          <w:rFonts w:hint="default" w:ascii="Arial" w:hAnsi="Arial" w:cs="Arial"/>
          <w:b/>
          <w:bCs/>
          <w:lang w:val="pt-BR"/>
        </w:rPr>
        <w:t>034/2025</w:t>
      </w:r>
    </w:p>
    <w:p w14:paraId="181408ED">
      <w:pPr>
        <w:ind w:left="-284" w:firstLine="284"/>
        <w:jc w:val="both"/>
        <w:rPr>
          <w:rFonts w:hint="default" w:ascii="Arial" w:hAnsi="Arial" w:cs="Arial" w:eastAsiaTheme="minorHAnsi"/>
          <w:sz w:val="18"/>
          <w:szCs w:val="18"/>
        </w:rPr>
      </w:pPr>
    </w:p>
    <w:p w14:paraId="3ED9427D">
      <w:pPr>
        <w:ind w:left="-284" w:firstLine="284"/>
        <w:jc w:val="both"/>
        <w:rPr>
          <w:rFonts w:hint="default" w:ascii="Arial" w:hAnsi="Arial" w:cs="Arial" w:eastAsiaTheme="minorHAnsi"/>
          <w:sz w:val="18"/>
          <w:szCs w:val="18"/>
        </w:rPr>
      </w:pPr>
    </w:p>
    <w:p w14:paraId="5FC86195">
      <w:pPr>
        <w:ind w:left="-284" w:firstLine="284"/>
        <w:jc w:val="both"/>
        <w:rPr>
          <w:rFonts w:hint="default" w:ascii="Arial" w:hAnsi="Arial" w:cs="Arial" w:eastAsiaTheme="minorHAnsi"/>
          <w:sz w:val="18"/>
          <w:szCs w:val="18"/>
        </w:rPr>
      </w:pPr>
    </w:p>
    <w:p w14:paraId="30B3A090">
      <w:pPr>
        <w:autoSpaceDE w:val="0"/>
        <w:autoSpaceDN w:val="0"/>
        <w:adjustRightInd w:val="0"/>
        <w:jc w:val="center"/>
        <w:rPr>
          <w:rFonts w:ascii="Arial" w:hAnsi="Arial" w:cs="Arial"/>
          <w:b/>
          <w:bCs/>
          <w:sz w:val="32"/>
          <w:szCs w:val="32"/>
        </w:rPr>
      </w:pPr>
    </w:p>
    <w:p w14:paraId="6FEC0A6F">
      <w:pPr>
        <w:autoSpaceDE w:val="0"/>
        <w:autoSpaceDN w:val="0"/>
        <w:adjustRightInd w:val="0"/>
        <w:jc w:val="center"/>
        <w:rPr>
          <w:rFonts w:ascii="Arial" w:hAnsi="Arial" w:cs="Arial"/>
          <w:b/>
          <w:sz w:val="20"/>
          <w:szCs w:val="20"/>
          <w:shd w:val="clear" w:color="auto" w:fill="FFFFFF"/>
        </w:rPr>
      </w:pPr>
      <w:r>
        <w:rPr>
          <w:rFonts w:ascii="Arial" w:hAnsi="Arial" w:cs="Arial" w:eastAsiaTheme="minorHAnsi"/>
          <w:b/>
          <w:bCs/>
          <w:sz w:val="20"/>
          <w:szCs w:val="20"/>
        </w:rPr>
        <w:t xml:space="preserve">MODELO DE DECLARAÇÃO DE </w:t>
      </w:r>
      <w:r>
        <w:rPr>
          <w:rFonts w:ascii="Arial" w:hAnsi="Arial" w:cs="Arial"/>
          <w:b/>
          <w:sz w:val="20"/>
          <w:szCs w:val="20"/>
          <w:shd w:val="clear" w:color="auto" w:fill="FFFFFF"/>
        </w:rPr>
        <w:t>MICROEMPRESA OU EMPRESA DE PEQUENO PORTE, MICROEMPREENDEDOR INDIVIDUAL, PRODUTOR RURAL PESSOA FÍSICA, AGRICULTOR FAMILIAR OU SOCIEDADE COOPERATIVA.</w:t>
      </w:r>
    </w:p>
    <w:p w14:paraId="46697913">
      <w:pPr>
        <w:autoSpaceDE w:val="0"/>
        <w:autoSpaceDN w:val="0"/>
        <w:adjustRightInd w:val="0"/>
        <w:jc w:val="both"/>
        <w:rPr>
          <w:rFonts w:ascii="Arial" w:hAnsi="Arial" w:cs="Arial"/>
          <w:color w:val="000000"/>
          <w:sz w:val="20"/>
          <w:szCs w:val="20"/>
        </w:rPr>
      </w:pPr>
    </w:p>
    <w:p w14:paraId="2CC65E11">
      <w:pPr>
        <w:autoSpaceDE w:val="0"/>
        <w:autoSpaceDN w:val="0"/>
        <w:adjustRightInd w:val="0"/>
        <w:jc w:val="both"/>
        <w:rPr>
          <w:rFonts w:ascii="Arial" w:hAnsi="Arial" w:cs="Arial"/>
          <w:color w:val="000000"/>
          <w:sz w:val="20"/>
          <w:szCs w:val="20"/>
        </w:rPr>
      </w:pPr>
    </w:p>
    <w:p w14:paraId="2EB4F4F6">
      <w:pPr>
        <w:autoSpaceDE w:val="0"/>
        <w:autoSpaceDN w:val="0"/>
        <w:adjustRightInd w:val="0"/>
        <w:jc w:val="both"/>
        <w:rPr>
          <w:rFonts w:ascii="Arial" w:hAnsi="Arial" w:cs="Arial"/>
          <w:color w:val="000000"/>
          <w:sz w:val="20"/>
          <w:szCs w:val="20"/>
        </w:rPr>
      </w:pPr>
    </w:p>
    <w:p w14:paraId="1CBCC1A0">
      <w:pPr>
        <w:autoSpaceDE w:val="0"/>
        <w:autoSpaceDN w:val="0"/>
        <w:adjustRightInd w:val="0"/>
        <w:jc w:val="both"/>
        <w:rPr>
          <w:rFonts w:ascii="Arial" w:hAnsi="Arial" w:cs="Arial"/>
          <w:color w:val="000000"/>
          <w:sz w:val="20"/>
          <w:szCs w:val="20"/>
        </w:rPr>
      </w:pPr>
    </w:p>
    <w:p w14:paraId="65895689">
      <w:pPr>
        <w:autoSpaceDE w:val="0"/>
        <w:autoSpaceDN w:val="0"/>
        <w:adjustRightInd w:val="0"/>
        <w:jc w:val="both"/>
        <w:rPr>
          <w:rFonts w:ascii="Arial" w:hAnsi="Arial" w:cs="Arial"/>
          <w:color w:val="000000"/>
          <w:sz w:val="20"/>
          <w:szCs w:val="20"/>
        </w:rPr>
      </w:pPr>
      <w:r>
        <w:rPr>
          <w:rFonts w:ascii="Arial" w:hAnsi="Arial" w:cs="Arial"/>
          <w:color w:val="000000"/>
          <w:sz w:val="20"/>
          <w:szCs w:val="20"/>
        </w:rPr>
        <w:t>OBSERVAÇÕES: Este modelo deverá ser copiado na forma e na íntegra</w:t>
      </w:r>
    </w:p>
    <w:p w14:paraId="3C627092">
      <w:pPr>
        <w:rPr>
          <w:rFonts w:ascii="Arial" w:hAnsi="Arial" w:cs="Arial"/>
          <w:b/>
          <w:bCs/>
          <w:sz w:val="20"/>
          <w:szCs w:val="20"/>
        </w:rPr>
      </w:pPr>
    </w:p>
    <w:p w14:paraId="4C0592C7">
      <w:pPr>
        <w:rPr>
          <w:rFonts w:ascii="Arial" w:hAnsi="Arial" w:cs="Arial"/>
          <w:b/>
          <w:bCs/>
          <w:sz w:val="20"/>
          <w:szCs w:val="20"/>
        </w:rPr>
      </w:pPr>
    </w:p>
    <w:p w14:paraId="5F9C1FD2">
      <w:pPr>
        <w:autoSpaceDE w:val="0"/>
        <w:autoSpaceDN w:val="0"/>
        <w:adjustRightInd w:val="0"/>
        <w:jc w:val="both"/>
        <w:outlineLvl w:val="0"/>
        <w:rPr>
          <w:rFonts w:ascii="Arial" w:hAnsi="Arial" w:cs="Arial"/>
          <w:color w:val="000000"/>
          <w:sz w:val="20"/>
          <w:szCs w:val="20"/>
        </w:rPr>
      </w:pPr>
    </w:p>
    <w:p w14:paraId="1B85BAE4">
      <w:pPr>
        <w:autoSpaceDE w:val="0"/>
        <w:autoSpaceDN w:val="0"/>
        <w:adjustRightInd w:val="0"/>
        <w:jc w:val="both"/>
        <w:outlineLvl w:val="0"/>
        <w:rPr>
          <w:rFonts w:ascii="Arial" w:hAnsi="Arial" w:cs="Arial"/>
          <w:color w:val="000000"/>
          <w:sz w:val="20"/>
          <w:szCs w:val="20"/>
        </w:rPr>
      </w:pPr>
      <w:r>
        <w:rPr>
          <w:rFonts w:ascii="Arial" w:hAnsi="Arial" w:cs="Arial"/>
          <w:color w:val="000000"/>
          <w:sz w:val="20"/>
          <w:szCs w:val="20"/>
        </w:rPr>
        <w:t>À</w:t>
      </w:r>
    </w:p>
    <w:p w14:paraId="61A97093">
      <w:pPr>
        <w:autoSpaceDE w:val="0"/>
        <w:autoSpaceDN w:val="0"/>
        <w:adjustRightInd w:val="0"/>
        <w:jc w:val="both"/>
        <w:rPr>
          <w:rFonts w:ascii="Arial" w:hAnsi="Arial" w:cs="Arial"/>
          <w:color w:val="000000"/>
          <w:sz w:val="20"/>
          <w:szCs w:val="20"/>
        </w:rPr>
      </w:pPr>
      <w:r>
        <w:rPr>
          <w:rFonts w:ascii="Arial" w:hAnsi="Arial" w:cs="Arial"/>
          <w:color w:val="000000"/>
          <w:sz w:val="20"/>
          <w:szCs w:val="20"/>
        </w:rPr>
        <w:t>Prefeitura do Município de Cataguases</w:t>
      </w:r>
    </w:p>
    <w:p w14:paraId="4B9AA330">
      <w:pPr>
        <w:autoSpaceDE w:val="0"/>
        <w:autoSpaceDN w:val="0"/>
        <w:adjustRightInd w:val="0"/>
        <w:ind w:firstLine="708"/>
        <w:jc w:val="both"/>
        <w:rPr>
          <w:rFonts w:ascii="Arial" w:hAnsi="Arial" w:cs="Arial" w:eastAsiaTheme="minorHAnsi"/>
          <w:sz w:val="20"/>
          <w:szCs w:val="20"/>
        </w:rPr>
      </w:pPr>
      <w:r>
        <w:rPr>
          <w:rFonts w:ascii="Arial" w:hAnsi="Arial" w:cs="Arial" w:eastAsiaTheme="minorHAnsi"/>
          <w:sz w:val="20"/>
          <w:szCs w:val="20"/>
        </w:rPr>
        <w:t xml:space="preserve">................................................................................, inscrito no CNPJ nº ..........................., por intermédio de seu representante legal o(a) Sr(a) .................................................................., portador(a) da Carteira de Identidade nº ................................ e do CPF nº ......................................DECLARA, para fins do disposto no § 2º do Decreto n° 10.273 de 13 de março de 2020, </w:t>
      </w:r>
      <w:r>
        <w:rPr>
          <w:rFonts w:ascii="Arial" w:hAnsi="Arial" w:cs="Arial"/>
          <w:sz w:val="20"/>
          <w:szCs w:val="20"/>
          <w:shd w:val="clear" w:color="auto" w:fill="FFFFFF"/>
        </w:rPr>
        <w:t>de que cumpre os requisitos legais para a qualificação como microempresa ou empresa de pequeno porte, microempreendedor individual, produtor rural pessoa física, agricultor familiar ou sociedade cooperativa, o que o tornará apto a usufruir do tratamento favorecido estabelecido nos art. 42 ao art. 49 da Lei Complementar nº 123, de 2006</w:t>
      </w:r>
    </w:p>
    <w:p w14:paraId="4AF98989">
      <w:pPr>
        <w:autoSpaceDE w:val="0"/>
        <w:autoSpaceDN w:val="0"/>
        <w:adjustRightInd w:val="0"/>
        <w:jc w:val="both"/>
        <w:rPr>
          <w:rFonts w:ascii="Arial" w:hAnsi="Arial" w:cs="Arial" w:eastAsiaTheme="minorHAnsi"/>
          <w:sz w:val="20"/>
          <w:szCs w:val="20"/>
        </w:rPr>
      </w:pPr>
    </w:p>
    <w:p w14:paraId="0AD82C09">
      <w:pPr>
        <w:autoSpaceDE w:val="0"/>
        <w:autoSpaceDN w:val="0"/>
        <w:adjustRightInd w:val="0"/>
        <w:jc w:val="both"/>
        <w:rPr>
          <w:rFonts w:ascii="Arial" w:hAnsi="Arial" w:cs="Arial" w:eastAsiaTheme="minorHAnsi"/>
          <w:sz w:val="20"/>
          <w:szCs w:val="20"/>
        </w:rPr>
      </w:pPr>
    </w:p>
    <w:p w14:paraId="0CE845FB">
      <w:pPr>
        <w:autoSpaceDE w:val="0"/>
        <w:autoSpaceDN w:val="0"/>
        <w:adjustRightInd w:val="0"/>
        <w:jc w:val="both"/>
        <w:rPr>
          <w:rFonts w:ascii="Arial" w:hAnsi="Arial" w:cs="Arial" w:eastAsiaTheme="minorHAnsi"/>
          <w:sz w:val="20"/>
          <w:szCs w:val="20"/>
        </w:rPr>
      </w:pPr>
    </w:p>
    <w:p w14:paraId="03F66A3B">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5F34268A">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(data)</w:t>
      </w:r>
    </w:p>
    <w:p w14:paraId="7B60941B">
      <w:pPr>
        <w:autoSpaceDE w:val="0"/>
        <w:autoSpaceDN w:val="0"/>
        <w:adjustRightInd w:val="0"/>
        <w:jc w:val="center"/>
        <w:rPr>
          <w:rFonts w:ascii="Arial" w:hAnsi="Arial" w:cs="Arial" w:eastAsiaTheme="minorHAnsi"/>
          <w:sz w:val="20"/>
          <w:szCs w:val="20"/>
        </w:rPr>
      </w:pPr>
    </w:p>
    <w:p w14:paraId="0D81AE6D">
      <w:pPr>
        <w:autoSpaceDE w:val="0"/>
        <w:autoSpaceDN w:val="0"/>
        <w:adjustRightInd w:val="0"/>
        <w:jc w:val="center"/>
        <w:rPr>
          <w:rFonts w:ascii="Arial" w:hAnsi="Arial" w:cs="Arial" w:eastAsiaTheme="minorHAnsi"/>
          <w:sz w:val="20"/>
          <w:szCs w:val="20"/>
        </w:rPr>
      </w:pPr>
    </w:p>
    <w:p w14:paraId="1FBE27C8">
      <w:pPr>
        <w:autoSpaceDE w:val="0"/>
        <w:autoSpaceDN w:val="0"/>
        <w:adjustRightInd w:val="0"/>
        <w:jc w:val="center"/>
        <w:rPr>
          <w:rFonts w:ascii="Arial" w:hAnsi="Arial" w:cs="Arial" w:eastAsiaTheme="minorHAnsi"/>
          <w:sz w:val="20"/>
          <w:szCs w:val="20"/>
        </w:rPr>
      </w:pPr>
    </w:p>
    <w:p w14:paraId="5822B92F">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2145BEE6">
      <w:pPr>
        <w:autoSpaceDE w:val="0"/>
        <w:autoSpaceDN w:val="0"/>
        <w:adjustRightInd w:val="0"/>
        <w:jc w:val="center"/>
        <w:rPr>
          <w:rFonts w:ascii="Arial" w:hAnsi="Arial" w:cs="Arial"/>
          <w:color w:val="000000"/>
          <w:sz w:val="20"/>
          <w:szCs w:val="20"/>
        </w:rPr>
      </w:pPr>
      <w:r>
        <w:rPr>
          <w:rFonts w:ascii="Arial" w:hAnsi="Arial" w:cs="Arial" w:eastAsiaTheme="minorHAnsi"/>
          <w:sz w:val="20"/>
          <w:szCs w:val="20"/>
        </w:rPr>
        <w:t>(assinatura do representante legal)</w:t>
      </w:r>
    </w:p>
    <w:p w14:paraId="5CEC5EB1">
      <w:pPr>
        <w:autoSpaceDE w:val="0"/>
        <w:autoSpaceDN w:val="0"/>
        <w:adjustRightInd w:val="0"/>
        <w:jc w:val="center"/>
        <w:rPr>
          <w:rFonts w:ascii="Arial" w:hAnsi="Arial" w:cs="Arial"/>
          <w:b/>
          <w:bCs/>
          <w:sz w:val="32"/>
          <w:szCs w:val="32"/>
        </w:rPr>
      </w:pPr>
    </w:p>
    <w:p w14:paraId="10960660">
      <w:pPr>
        <w:ind w:left="-284" w:firstLine="284"/>
        <w:jc w:val="both"/>
        <w:rPr>
          <w:rFonts w:ascii="Arial" w:hAnsi="Arial" w:cs="Arial" w:eastAsiaTheme="minorHAnsi"/>
          <w:sz w:val="20"/>
          <w:szCs w:val="20"/>
        </w:rPr>
      </w:pPr>
    </w:p>
    <w:sectPr>
      <w:headerReference r:id="rId3" w:type="default"/>
      <w:footerReference r:id="rId4" w:type="default"/>
      <w:pgSz w:w="11907" w:h="16840"/>
      <w:pgMar w:top="984" w:right="993" w:bottom="1276" w:left="992" w:header="0" w:footer="0"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cofont_spranq_eco_sans">
    <w:altName w:val="Times New Roman"/>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21" w:usb3="00000000" w:csb0="000001BF" w:csb1="00000000"/>
  </w:font>
  <w:font w:name="Droid Sans Fallback">
    <w:altName w:val="Times New Roman"/>
    <w:panose1 w:val="00000000000000000000"/>
    <w:charset w:val="00"/>
    <w:family w:val="auto"/>
    <w:pitch w:val="default"/>
    <w:sig w:usb0="00000000" w:usb1="00000000" w:usb2="00000000" w:usb3="00000000" w:csb0="00040001" w:csb1="00000000"/>
  </w:font>
  <w:font w:name="FreeSans">
    <w:altName w:val="Arial"/>
    <w:panose1 w:val="00000000000000000000"/>
    <w:charset w:val="00"/>
    <w:family w:val="swiss"/>
    <w:pitch w:val="default"/>
    <w:sig w:usb0="00000000" w:usb1="00000000" w:usb2="00000000" w:usb3="00000000" w:csb0="00040001" w:csb1="00000000"/>
  </w:font>
  <w:font w:name="Noto Serif CJK SC">
    <w:altName w:val="Segoe Print"/>
    <w:panose1 w:val="00000000000000000000"/>
    <w:charset w:val="00"/>
    <w:family w:val="auto"/>
    <w:pitch w:val="default"/>
    <w:sig w:usb0="00000000" w:usb1="00000000" w:usb2="00000000" w:usb3="00000000" w:csb0="00000000" w:csb1="00000000"/>
  </w:font>
  <w:font w:name="Lohit Devanagari">
    <w:altName w:val="Segoe Print"/>
    <w:panose1 w:val="00000000000000000000"/>
    <w:charset w:val="00"/>
    <w:family w:val="roman"/>
    <w:pitch w:val="default"/>
    <w:sig w:usb0="00000000" w:usb1="00000000" w:usb2="00000000" w:usb3="00000000" w:csb0="00000000" w:csb1="00000000"/>
  </w:font>
  <w:font w:name="DejaVu Sans">
    <w:altName w:val="Segoe Print"/>
    <w:panose1 w:val="020B0603030804020204"/>
    <w:charset w:val="00"/>
    <w:family w:val="swiss"/>
    <w:pitch w:val="default"/>
    <w:sig w:usb0="00000000" w:usb1="00000000" w:usb2="0A246029" w:usb3="0400200C" w:csb0="600001FF" w:csb1="DFFF0000"/>
  </w:font>
  <w:font w:name="Wingdings">
    <w:panose1 w:val="05000000000000000000"/>
    <w:charset w:val="02"/>
    <w:family w:val="auto"/>
    <w:pitch w:val="default"/>
    <w:sig w:usb0="00000000" w:usb1="00000000" w:usb2="00000000" w:usb3="00000000" w:csb0="80000000" w:csb1="00000000"/>
  </w:font>
  <w:font w:name="zurich bt">
    <w:altName w:val="Segoe Print"/>
    <w:panose1 w:val="00000000000000000000"/>
    <w:charset w:val="00"/>
    <w:family w:val="roman"/>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LiberationSerif-Bold">
    <w:altName w:val="Cambria"/>
    <w:panose1 w:val="00000000000000000000"/>
    <w:charset w:val="00"/>
    <w:family w:val="roman"/>
    <w:pitch w:val="default"/>
    <w:sig w:usb0="00000000" w:usb1="00000000" w:usb2="00000000" w:usb3="00000000" w:csb0="00000000" w:csb1="00000000"/>
  </w:font>
  <w:font w:name="helvetica">
    <w:altName w:val="Segoe Print"/>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Arial-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625CD">
    <w:pPr>
      <w:spacing w:before="12"/>
      <w:ind w:left="5" w:right="1"/>
      <w:jc w:val="center"/>
      <w:rPr>
        <w:sz w:val="20"/>
        <w:szCs w:val="20"/>
      </w:rPr>
    </w:pPr>
    <w:r>
      <w:rPr>
        <w:sz w:val="20"/>
        <w:szCs w:val="20"/>
      </w:rPr>
      <w:t>Praça Santa Rita, 462–Centro, Cataguases-MG, CEP:36771-020</w:t>
    </w:r>
  </w:p>
  <w:p w14:paraId="1B04B01A">
    <w:pPr>
      <w:pStyle w:val="201"/>
      <w:jc w:val="center"/>
      <w:rPr>
        <w:sz w:val="20"/>
        <w:szCs w:val="20"/>
      </w:rPr>
    </w:pPr>
    <w:r>
      <w:rPr>
        <w:sz w:val="20"/>
        <w:szCs w:val="20"/>
      </w:rPr>
      <w:t xml:space="preserve">Telefone: 32 3429-2500, email: </w:t>
    </w:r>
    <w:r>
      <w:rPr>
        <w:sz w:val="20"/>
        <w:szCs w:val="20"/>
      </w:rPr>
      <w:fldChar w:fldCharType="begin"/>
    </w:r>
    <w:r>
      <w:rPr>
        <w:sz w:val="20"/>
        <w:szCs w:val="20"/>
      </w:rPr>
      <w:instrText xml:space="preserve"> HYPERLINK "mailto:pregaocataguases@gmail.com" </w:instrText>
    </w:r>
    <w:r>
      <w:rPr>
        <w:sz w:val="20"/>
        <w:szCs w:val="20"/>
      </w:rPr>
      <w:fldChar w:fldCharType="separate"/>
    </w:r>
    <w:r>
      <w:rPr>
        <w:rStyle w:val="11"/>
        <w:sz w:val="20"/>
        <w:szCs w:val="20"/>
      </w:rPr>
      <w:t>pregaocataguases@gmail.com</w:t>
    </w:r>
    <w:r>
      <w:rPr>
        <w:sz w:val="20"/>
        <w:szCs w:val="20"/>
      </w:rPr>
      <w:fldChar w:fldCharType="end"/>
    </w:r>
  </w:p>
  <w:p w14:paraId="69FBC8A7">
    <w:pPr>
      <w:pStyle w:val="201"/>
      <w:jc w:val="center"/>
      <w:rPr>
        <w:rFonts w:hint="default"/>
        <w:sz w:val="20"/>
        <w:szCs w:val="20"/>
        <w:lang w:val="pt-BR"/>
      </w:rPr>
    </w:pPr>
    <w:r>
      <w:rPr>
        <w:rFonts w:hint="default"/>
        <w:sz w:val="20"/>
        <w:szCs w:val="20"/>
        <w:lang w:val="pt-BR"/>
      </w:rPr>
      <w:t>Pregão eletrônico n° 036/2025</w:t>
    </w:r>
  </w:p>
  <w:p w14:paraId="021662C9">
    <w:pPr>
      <w:pStyle w:val="201"/>
      <w:jc w:val="right"/>
    </w:pPr>
    <w:sdt>
      <w:sdtPr>
        <w:id w:val="22311938"/>
      </w:sdtPr>
      <w:sdtContent>
        <w:sdt>
          <w:sdtPr>
            <w:id w:val="22311939"/>
          </w:sdtPr>
          <w:sdtContent>
            <w:r>
              <w:t xml:space="preserve">Página </w:t>
            </w:r>
            <w:r>
              <w:rPr>
                <w:b/>
              </w:rPr>
              <w:fldChar w:fldCharType="begin"/>
            </w:r>
            <w:r>
              <w:rPr>
                <w:b/>
              </w:rPr>
              <w:instrText xml:space="preserve">PAGE</w:instrText>
            </w:r>
            <w:r>
              <w:rPr>
                <w:b/>
              </w:rPr>
              <w:fldChar w:fldCharType="separate"/>
            </w:r>
            <w:r>
              <w:rPr>
                <w:b/>
              </w:rPr>
              <w:t>18</w:t>
            </w:r>
            <w:r>
              <w:rPr>
                <w:b/>
              </w:rPr>
              <w:fldChar w:fldCharType="end"/>
            </w:r>
            <w:r>
              <w:t xml:space="preserve"> de </w:t>
            </w:r>
            <w:r>
              <w:rPr>
                <w:b/>
              </w:rPr>
              <w:fldChar w:fldCharType="begin"/>
            </w:r>
            <w:r>
              <w:rPr>
                <w:b/>
              </w:rPr>
              <w:instrText xml:space="preserve">NUMPAGES</w:instrText>
            </w:r>
            <w:r>
              <w:rPr>
                <w:b/>
              </w:rPr>
              <w:fldChar w:fldCharType="separate"/>
            </w:r>
            <w:r>
              <w:rPr>
                <w:b/>
              </w:rPr>
              <w:t>43</w:t>
            </w:r>
            <w:r>
              <w:rPr>
                <w:b/>
              </w:rPr>
              <w:fldChar w:fldCharType="end"/>
            </w:r>
          </w:sdtContent>
        </w:sdt>
      </w:sdtContent>
    </w:sdt>
  </w:p>
  <w:p w14:paraId="5997FA43">
    <w:pPr>
      <w:pStyle w:val="201"/>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B61B9">
    <w:pPr>
      <w:pStyle w:val="199"/>
      <w:jc w:val="center"/>
    </w:pPr>
    <w:r>
      <w:drawing>
        <wp:inline distT="0" distB="0" distL="114300" distR="114300">
          <wp:extent cx="5539740" cy="899160"/>
          <wp:effectExtent l="0" t="0" r="7620" b="0"/>
          <wp:docPr id="1982602865" name="Imagem 198260286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602865" name="Imagem 1982602865" descr="Texto&#10;&#10;Descrição gerada automaticamente com confiança média"/>
                  <pic:cNvPicPr>
                    <a:picLocks noChangeAspect="1"/>
                  </pic:cNvPicPr>
                </pic:nvPicPr>
                <pic:blipFill>
                  <a:blip r:embed="rId1"/>
                  <a:stretch>
                    <a:fillRect/>
                  </a:stretch>
                </pic:blipFill>
                <pic:spPr>
                  <a:xfrm>
                    <a:off x="0" y="0"/>
                    <a:ext cx="5539740" cy="89916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txbx>
                      <w:txbxContent>
                        <w:p w14:paraId="2E88300A">
                          <w:pPr>
                            <w:jc w:val="center"/>
                          </w:pPr>
                        </w:p>
                      </w:txbxContent>
                    </wps:txbx>
                    <wps:bodyPr rot="0" vert="horz" wrap="square" lIns="91440" tIns="45720" rIns="91440" bIns="45720" anchor="t" anchorCtr="0" upright="1">
                      <a:noAutofit/>
                    </wps:bodyPr>
                  </wps:wsp>
                </a:graphicData>
              </a:graphic>
            </wp:anchor>
          </w:drawing>
        </mc:Choice>
        <mc:Fallback>
          <w:pict>
            <v:rect id="AutoShape 2" o:spid="_x0000_s1026" o:spt="1" style="position:absolute;left:0pt;margin-left:0pt;margin-top:0pt;height:50pt;width:50pt;visibility:hidden;z-index:251659264;mso-width-relative:page;mso-height-relative:page;" fillcolor="#FFFFFF" filled="t" stroked="t" coordsize="21600,21600" o:gfxdata="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W6XrNIAAAAFAQAADwAAAAAAAAABACAAAAAiAAAAZHJzL2Rvd25yZXYueG1sUEsB&#10;AhQAFAAAAAgAh07iQGspotQ0AgAAlQQAAA4AAAAAAAAAAQAgAAAAIQEAAGRycy9lMm9Eb2MueG1s&#10;UEsFBgAAAAAGAAYAWQEAAMcFAAAAAA==&#10;">
              <v:fill on="t" focussize="0,0"/>
              <v:stroke color="#000000" joinstyle="round"/>
              <v:imagedata o:title=""/>
              <o:lock v:ext="edit" selection="t" aspectratio="f"/>
              <v:textbox>
                <w:txbxContent>
                  <w:p w14:paraId="2E88300A">
                    <w:pPr>
                      <w:jc w:val="cente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FC10EE"/>
    <w:multiLevelType w:val="singleLevel"/>
    <w:tmpl w:val="C2FC10EE"/>
    <w:lvl w:ilvl="0" w:tentative="0">
      <w:start w:val="6"/>
      <w:numFmt w:val="decimal"/>
      <w:suff w:val="space"/>
      <w:lvlText w:val="%1."/>
      <w:lvlJc w:val="left"/>
    </w:lvl>
  </w:abstractNum>
  <w:abstractNum w:abstractNumId="1">
    <w:nsid w:val="E440643E"/>
    <w:multiLevelType w:val="singleLevel"/>
    <w:tmpl w:val="E440643E"/>
    <w:lvl w:ilvl="0" w:tentative="0">
      <w:start w:val="1"/>
      <w:numFmt w:val="decimal"/>
      <w:lvlText w:val="5.2.%1."/>
      <w:lvlJc w:val="left"/>
      <w:pPr>
        <w:tabs>
          <w:tab w:val="left" w:pos="425"/>
        </w:tabs>
        <w:ind w:left="425" w:leftChars="0" w:hanging="425" w:firstLineChars="0"/>
      </w:pPr>
      <w:rPr>
        <w:rFonts w:hint="default"/>
        <w:b/>
        <w:bCs/>
      </w:rPr>
    </w:lvl>
  </w:abstractNum>
  <w:abstractNum w:abstractNumId="2">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3">
    <w:nsid w:val="04015AA4"/>
    <w:multiLevelType w:val="multilevel"/>
    <w:tmpl w:val="04015AA4"/>
    <w:lvl w:ilvl="0" w:tentative="0">
      <w:start w:val="1"/>
      <w:numFmt w:val="decimal"/>
      <w:lvlText w:val="10.%1."/>
      <w:lvlJc w:val="left"/>
      <w:pPr>
        <w:ind w:left="720" w:hanging="360"/>
      </w:pPr>
      <w:rPr>
        <w:rFonts w:hint="default"/>
        <w:b w:val="0"/>
        <w:bCs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9070C96"/>
    <w:multiLevelType w:val="multilevel"/>
    <w:tmpl w:val="09070C96"/>
    <w:lvl w:ilvl="0" w:tentative="0">
      <w:start w:val="1"/>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5">
    <w:nsid w:val="09A22EE4"/>
    <w:multiLevelType w:val="multilevel"/>
    <w:tmpl w:val="09A22EE4"/>
    <w:lvl w:ilvl="0" w:tentative="0">
      <w:start w:val="12"/>
      <w:numFmt w:val="decimal"/>
      <w:lvlText w:val="%1."/>
      <w:lvlJc w:val="left"/>
      <w:pPr>
        <w:ind w:left="408" w:hanging="360"/>
      </w:pPr>
      <w:rPr>
        <w:rFonts w:hint="default"/>
      </w:rPr>
    </w:lvl>
    <w:lvl w:ilvl="1" w:tentative="0">
      <w:start w:val="1"/>
      <w:numFmt w:val="decimal"/>
      <w:isLgl/>
      <w:lvlText w:val="%1.%2"/>
      <w:lvlJc w:val="left"/>
      <w:pPr>
        <w:ind w:left="432" w:hanging="384"/>
      </w:pPr>
      <w:rPr>
        <w:rFonts w:hint="default" w:ascii="Arial" w:hAnsi="Arial" w:cs="Arial"/>
        <w:b w:val="0"/>
        <w:i w:val="0"/>
        <w:color w:val="auto"/>
        <w:sz w:val="18"/>
        <w:szCs w:val="18"/>
      </w:rPr>
    </w:lvl>
    <w:lvl w:ilvl="2" w:tentative="0">
      <w:start w:val="1"/>
      <w:numFmt w:val="decimal"/>
      <w:isLgl/>
      <w:lvlText w:val="%1.%2.%3"/>
      <w:lvlJc w:val="left"/>
      <w:pPr>
        <w:ind w:left="768" w:hanging="720"/>
      </w:pPr>
      <w:rPr>
        <w:rFonts w:hint="default"/>
        <w:b w:val="0"/>
      </w:rPr>
    </w:lvl>
    <w:lvl w:ilvl="3" w:tentative="0">
      <w:start w:val="1"/>
      <w:numFmt w:val="decimal"/>
      <w:isLgl/>
      <w:lvlText w:val="%1.%2.%3.%4"/>
      <w:lvlJc w:val="left"/>
      <w:pPr>
        <w:ind w:left="768" w:hanging="720"/>
      </w:pPr>
      <w:rPr>
        <w:rFonts w:hint="default"/>
        <w:b w:val="0"/>
      </w:rPr>
    </w:lvl>
    <w:lvl w:ilvl="4" w:tentative="0">
      <w:start w:val="1"/>
      <w:numFmt w:val="decimal"/>
      <w:isLgl/>
      <w:lvlText w:val="%1.%2.%3.%4.%5"/>
      <w:lvlJc w:val="left"/>
      <w:pPr>
        <w:ind w:left="1128" w:hanging="1080"/>
      </w:pPr>
      <w:rPr>
        <w:rFonts w:hint="default"/>
        <w:b w:val="0"/>
      </w:rPr>
    </w:lvl>
    <w:lvl w:ilvl="5" w:tentative="0">
      <w:start w:val="1"/>
      <w:numFmt w:val="decimal"/>
      <w:isLgl/>
      <w:lvlText w:val="%1.%2.%3.%4.%5.%6"/>
      <w:lvlJc w:val="left"/>
      <w:pPr>
        <w:ind w:left="1128" w:hanging="1080"/>
      </w:pPr>
      <w:rPr>
        <w:rFonts w:hint="default"/>
        <w:b w:val="0"/>
      </w:rPr>
    </w:lvl>
    <w:lvl w:ilvl="6" w:tentative="0">
      <w:start w:val="1"/>
      <w:numFmt w:val="decimal"/>
      <w:isLgl/>
      <w:lvlText w:val="%1.%2.%3.%4.%5.%6.%7"/>
      <w:lvlJc w:val="left"/>
      <w:pPr>
        <w:ind w:left="1488" w:hanging="1440"/>
      </w:pPr>
      <w:rPr>
        <w:rFonts w:hint="default"/>
        <w:b w:val="0"/>
      </w:rPr>
    </w:lvl>
    <w:lvl w:ilvl="7" w:tentative="0">
      <w:start w:val="1"/>
      <w:numFmt w:val="decimal"/>
      <w:isLgl/>
      <w:lvlText w:val="%1.%2.%3.%4.%5.%6.%7.%8"/>
      <w:lvlJc w:val="left"/>
      <w:pPr>
        <w:ind w:left="1488" w:hanging="1440"/>
      </w:pPr>
      <w:rPr>
        <w:rFonts w:hint="default"/>
        <w:b w:val="0"/>
      </w:rPr>
    </w:lvl>
    <w:lvl w:ilvl="8" w:tentative="0">
      <w:start w:val="1"/>
      <w:numFmt w:val="decimal"/>
      <w:isLgl/>
      <w:lvlText w:val="%1.%2.%3.%4.%5.%6.%7.%8.%9"/>
      <w:lvlJc w:val="left"/>
      <w:pPr>
        <w:ind w:left="1848" w:hanging="1800"/>
      </w:pPr>
      <w:rPr>
        <w:rFonts w:hint="default"/>
        <w:b w:val="0"/>
      </w:rPr>
    </w:lvl>
  </w:abstractNum>
  <w:abstractNum w:abstractNumId="6">
    <w:nsid w:val="10B949CE"/>
    <w:multiLevelType w:val="multilevel"/>
    <w:tmpl w:val="10B949CE"/>
    <w:lvl w:ilvl="0" w:tentative="0">
      <w:start w:val="1"/>
      <w:numFmt w:val="decimal"/>
      <w:lvlText w:val="%1."/>
      <w:lvlJc w:val="left"/>
      <w:pPr>
        <w:ind w:left="720" w:hanging="360"/>
      </w:pPr>
      <w:rPr>
        <w:rFonts w:hint="default"/>
      </w:rPr>
    </w:lvl>
    <w:lvl w:ilvl="1" w:tentative="0">
      <w:start w:val="1"/>
      <w:numFmt w:val="decimal"/>
      <w:isLgl/>
      <w:lvlText w:val="%1.%2"/>
      <w:lvlJc w:val="left"/>
      <w:pPr>
        <w:ind w:left="732" w:hanging="372"/>
      </w:pPr>
      <w:rPr>
        <w:rFonts w:hint="default"/>
        <w:b/>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7">
    <w:nsid w:val="13D63488"/>
    <w:multiLevelType w:val="multilevel"/>
    <w:tmpl w:val="13D63488"/>
    <w:lvl w:ilvl="0" w:tentative="0">
      <w:start w:val="8"/>
      <w:numFmt w:val="decimal"/>
      <w:lvlText w:val="%1"/>
      <w:lvlJc w:val="left"/>
      <w:pPr>
        <w:ind w:left="360" w:hanging="360"/>
      </w:pPr>
      <w:rPr>
        <w:rFonts w:hint="default"/>
      </w:rPr>
    </w:lvl>
    <w:lvl w:ilvl="1" w:tentative="0">
      <w:start w:val="1"/>
      <w:numFmt w:val="decimal"/>
      <w:lvlText w:val="%1.%2"/>
      <w:lvlJc w:val="left"/>
      <w:pPr>
        <w:ind w:left="1211" w:hanging="360"/>
      </w:pPr>
      <w:rPr>
        <w:rFonts w:hint="default"/>
        <w:b w:val="0"/>
        <w:bCs w:val="0"/>
      </w:rPr>
    </w:lvl>
    <w:lvl w:ilvl="2" w:tentative="0">
      <w:start w:val="1"/>
      <w:numFmt w:val="decimal"/>
      <w:lvlText w:val="%1.%2.%3"/>
      <w:lvlJc w:val="left"/>
      <w:pPr>
        <w:ind w:left="2422" w:hanging="720"/>
      </w:pPr>
      <w:rPr>
        <w:rFonts w:hint="default"/>
        <w:b w:val="0"/>
        <w:bCs w:val="0"/>
      </w:rPr>
    </w:lvl>
    <w:lvl w:ilvl="3" w:tentative="0">
      <w:start w:val="1"/>
      <w:numFmt w:val="decimal"/>
      <w:lvlText w:val="%1.%2.%3.%4"/>
      <w:lvlJc w:val="left"/>
      <w:pPr>
        <w:ind w:left="3273" w:hanging="720"/>
      </w:pPr>
      <w:rPr>
        <w:rFonts w:hint="default"/>
      </w:rPr>
    </w:lvl>
    <w:lvl w:ilvl="4" w:tentative="0">
      <w:start w:val="1"/>
      <w:numFmt w:val="decimal"/>
      <w:lvlText w:val="%1.%2.%3.%4.%5"/>
      <w:lvlJc w:val="left"/>
      <w:pPr>
        <w:ind w:left="4484" w:hanging="1080"/>
      </w:pPr>
      <w:rPr>
        <w:rFonts w:hint="default"/>
      </w:rPr>
    </w:lvl>
    <w:lvl w:ilvl="5" w:tentative="0">
      <w:start w:val="1"/>
      <w:numFmt w:val="decimal"/>
      <w:lvlText w:val="%1.%2.%3.%4.%5.%6"/>
      <w:lvlJc w:val="left"/>
      <w:pPr>
        <w:ind w:left="5335" w:hanging="1080"/>
      </w:pPr>
      <w:rPr>
        <w:rFonts w:hint="default"/>
      </w:rPr>
    </w:lvl>
    <w:lvl w:ilvl="6" w:tentative="0">
      <w:start w:val="1"/>
      <w:numFmt w:val="decimal"/>
      <w:lvlText w:val="%1.%2.%3.%4.%5.%6.%7"/>
      <w:lvlJc w:val="left"/>
      <w:pPr>
        <w:ind w:left="6546" w:hanging="1440"/>
      </w:pPr>
      <w:rPr>
        <w:rFonts w:hint="default"/>
      </w:rPr>
    </w:lvl>
    <w:lvl w:ilvl="7" w:tentative="0">
      <w:start w:val="1"/>
      <w:numFmt w:val="decimal"/>
      <w:lvlText w:val="%1.%2.%3.%4.%5.%6.%7.%8"/>
      <w:lvlJc w:val="left"/>
      <w:pPr>
        <w:ind w:left="7397" w:hanging="1440"/>
      </w:pPr>
      <w:rPr>
        <w:rFonts w:hint="default"/>
      </w:rPr>
    </w:lvl>
    <w:lvl w:ilvl="8" w:tentative="0">
      <w:start w:val="1"/>
      <w:numFmt w:val="decimal"/>
      <w:lvlText w:val="%1.%2.%3.%4.%5.%6.%7.%8.%9"/>
      <w:lvlJc w:val="left"/>
      <w:pPr>
        <w:ind w:left="8608" w:hanging="1800"/>
      </w:pPr>
      <w:rPr>
        <w:rFonts w:hint="default"/>
      </w:rPr>
    </w:lvl>
  </w:abstractNum>
  <w:abstractNum w:abstractNumId="8">
    <w:nsid w:val="14510CD7"/>
    <w:multiLevelType w:val="singleLevel"/>
    <w:tmpl w:val="14510CD7"/>
    <w:lvl w:ilvl="0" w:tentative="0">
      <w:start w:val="1"/>
      <w:numFmt w:val="decimal"/>
      <w:lvlText w:val="5.1.%1."/>
      <w:lvlJc w:val="left"/>
      <w:pPr>
        <w:tabs>
          <w:tab w:val="left" w:pos="425"/>
        </w:tabs>
        <w:ind w:left="425" w:leftChars="0" w:hanging="425" w:firstLineChars="0"/>
      </w:pPr>
      <w:rPr>
        <w:rFonts w:hint="default"/>
      </w:rPr>
    </w:lvl>
  </w:abstractNum>
  <w:abstractNum w:abstractNumId="9">
    <w:nsid w:val="174B3E73"/>
    <w:multiLevelType w:val="multilevel"/>
    <w:tmpl w:val="174B3E73"/>
    <w:lvl w:ilvl="0" w:tentative="0">
      <w:start w:val="1"/>
      <w:numFmt w:val="bullet"/>
      <w:lvlText w:val=""/>
      <w:lvlJc w:val="left"/>
      <w:pPr>
        <w:ind w:left="210" w:hanging="360"/>
      </w:pPr>
      <w:rPr>
        <w:rFonts w:hint="default" w:ascii="Wingdings" w:hAnsi="Wingdings"/>
      </w:rPr>
    </w:lvl>
    <w:lvl w:ilvl="1" w:tentative="0">
      <w:start w:val="1"/>
      <w:numFmt w:val="bullet"/>
      <w:lvlText w:val="o"/>
      <w:lvlJc w:val="left"/>
      <w:pPr>
        <w:ind w:left="930" w:hanging="360"/>
      </w:pPr>
      <w:rPr>
        <w:rFonts w:hint="default" w:ascii="Courier New" w:hAnsi="Courier New" w:cs="Courier New"/>
      </w:rPr>
    </w:lvl>
    <w:lvl w:ilvl="2" w:tentative="0">
      <w:start w:val="1"/>
      <w:numFmt w:val="bullet"/>
      <w:lvlText w:val=""/>
      <w:lvlJc w:val="left"/>
      <w:pPr>
        <w:ind w:left="1650" w:hanging="360"/>
      </w:pPr>
      <w:rPr>
        <w:rFonts w:hint="default" w:ascii="Wingdings" w:hAnsi="Wingdings"/>
      </w:rPr>
    </w:lvl>
    <w:lvl w:ilvl="3" w:tentative="0">
      <w:start w:val="1"/>
      <w:numFmt w:val="bullet"/>
      <w:lvlText w:val=""/>
      <w:lvlJc w:val="left"/>
      <w:pPr>
        <w:ind w:left="2370" w:hanging="360"/>
      </w:pPr>
      <w:rPr>
        <w:rFonts w:hint="default" w:ascii="Symbol" w:hAnsi="Symbol"/>
      </w:rPr>
    </w:lvl>
    <w:lvl w:ilvl="4" w:tentative="0">
      <w:start w:val="1"/>
      <w:numFmt w:val="bullet"/>
      <w:lvlText w:val="o"/>
      <w:lvlJc w:val="left"/>
      <w:pPr>
        <w:ind w:left="3090" w:hanging="360"/>
      </w:pPr>
      <w:rPr>
        <w:rFonts w:hint="default" w:ascii="Courier New" w:hAnsi="Courier New" w:cs="Courier New"/>
      </w:rPr>
    </w:lvl>
    <w:lvl w:ilvl="5" w:tentative="0">
      <w:start w:val="1"/>
      <w:numFmt w:val="bullet"/>
      <w:lvlText w:val=""/>
      <w:lvlJc w:val="left"/>
      <w:pPr>
        <w:ind w:left="3810" w:hanging="360"/>
      </w:pPr>
      <w:rPr>
        <w:rFonts w:hint="default" w:ascii="Wingdings" w:hAnsi="Wingdings"/>
      </w:rPr>
    </w:lvl>
    <w:lvl w:ilvl="6" w:tentative="0">
      <w:start w:val="1"/>
      <w:numFmt w:val="bullet"/>
      <w:lvlText w:val=""/>
      <w:lvlJc w:val="left"/>
      <w:pPr>
        <w:ind w:left="4530" w:hanging="360"/>
      </w:pPr>
      <w:rPr>
        <w:rFonts w:hint="default" w:ascii="Symbol" w:hAnsi="Symbol"/>
      </w:rPr>
    </w:lvl>
    <w:lvl w:ilvl="7" w:tentative="0">
      <w:start w:val="1"/>
      <w:numFmt w:val="bullet"/>
      <w:lvlText w:val="o"/>
      <w:lvlJc w:val="left"/>
      <w:pPr>
        <w:ind w:left="5250" w:hanging="360"/>
      </w:pPr>
      <w:rPr>
        <w:rFonts w:hint="default" w:ascii="Courier New" w:hAnsi="Courier New" w:cs="Courier New"/>
      </w:rPr>
    </w:lvl>
    <w:lvl w:ilvl="8" w:tentative="0">
      <w:start w:val="1"/>
      <w:numFmt w:val="bullet"/>
      <w:lvlText w:val=""/>
      <w:lvlJc w:val="left"/>
      <w:pPr>
        <w:ind w:left="5970" w:hanging="360"/>
      </w:pPr>
      <w:rPr>
        <w:rFonts w:hint="default" w:ascii="Wingdings" w:hAnsi="Wingdings"/>
      </w:rPr>
    </w:lvl>
  </w:abstractNum>
  <w:abstractNum w:abstractNumId="10">
    <w:nsid w:val="1D5C100D"/>
    <w:multiLevelType w:val="multilevel"/>
    <w:tmpl w:val="1D5C100D"/>
    <w:lvl w:ilvl="0" w:tentative="0">
      <w:start w:val="5"/>
      <w:numFmt w:val="decimal"/>
      <w:lvlText w:val="%1."/>
      <w:lvlJc w:val="left"/>
      <w:pPr>
        <w:ind w:left="360" w:hanging="360"/>
      </w:pPr>
      <w:rPr>
        <w:rFonts w:hint="default" w:ascii="Arial" w:hAnsi="Arial" w:cs="Arial" w:eastAsiaTheme="majorEastAsia"/>
        <w:b/>
        <w:sz w:val="24"/>
        <w:szCs w:val="24"/>
      </w:rPr>
    </w:lvl>
    <w:lvl w:ilvl="1" w:tentative="0">
      <w:start w:val="1"/>
      <w:numFmt w:val="decimal"/>
      <w:lvlText w:val="%1.%2."/>
      <w:lvlJc w:val="left"/>
      <w:pPr>
        <w:ind w:left="-2545" w:hanging="432"/>
      </w:pPr>
      <w:rPr>
        <w:rFonts w:hint="default"/>
        <w:b/>
        <w:i w:val="0"/>
        <w:strike w:val="0"/>
        <w:color w:val="auto"/>
        <w:sz w:val="24"/>
        <w:szCs w:val="24"/>
        <w:u w:val="none"/>
      </w:rPr>
    </w:lvl>
    <w:lvl w:ilvl="2" w:tentative="0">
      <w:start w:val="1"/>
      <w:numFmt w:val="decimal"/>
      <w:lvlText w:val="%1.%2.%3."/>
      <w:lvlJc w:val="left"/>
      <w:pPr>
        <w:ind w:left="-2473" w:hanging="504"/>
      </w:pPr>
      <w:rPr>
        <w:rFonts w:hint="default" w:ascii="Arial" w:hAnsi="Arial" w:cs="Arial"/>
        <w:b/>
        <w:i w:val="0"/>
        <w:strike w:val="0"/>
        <w:color w:val="auto"/>
        <w:sz w:val="24"/>
        <w:szCs w:val="20"/>
      </w:rPr>
    </w:lvl>
    <w:lvl w:ilvl="3" w:tentative="0">
      <w:start w:val="1"/>
      <w:numFmt w:val="decimal"/>
      <w:lvlText w:val="%1.%2.%3.%4."/>
      <w:lvlJc w:val="left"/>
      <w:pPr>
        <w:ind w:left="-486" w:hanging="648"/>
      </w:pPr>
      <w:rPr>
        <w:rFonts w:hint="default"/>
        <w:b/>
        <w:sz w:val="24"/>
      </w:rPr>
    </w:lvl>
    <w:lvl w:ilvl="4" w:tentative="0">
      <w:start w:val="1"/>
      <w:numFmt w:val="decimal"/>
      <w:lvlText w:val="%1.%2.%3.%4.%5."/>
      <w:lvlJc w:val="left"/>
      <w:pPr>
        <w:ind w:left="-745" w:hanging="792"/>
      </w:pPr>
      <w:rPr>
        <w:rFonts w:hint="default"/>
        <w:b/>
      </w:rPr>
    </w:lvl>
    <w:lvl w:ilvl="5" w:tentative="0">
      <w:start w:val="1"/>
      <w:numFmt w:val="decimal"/>
      <w:lvlText w:val="%1.%2.%3.%4.%5.%6."/>
      <w:lvlJc w:val="left"/>
      <w:pPr>
        <w:ind w:left="-241" w:hanging="936"/>
      </w:pPr>
      <w:rPr>
        <w:rFonts w:hint="default"/>
      </w:rPr>
    </w:lvl>
    <w:lvl w:ilvl="6" w:tentative="0">
      <w:start w:val="1"/>
      <w:numFmt w:val="decimal"/>
      <w:lvlText w:val="%1.%2.%3.%4.%5.%6.%7."/>
      <w:lvlJc w:val="left"/>
      <w:pPr>
        <w:ind w:left="263" w:hanging="1080"/>
      </w:pPr>
      <w:rPr>
        <w:rFonts w:hint="default"/>
      </w:rPr>
    </w:lvl>
    <w:lvl w:ilvl="7" w:tentative="0">
      <w:start w:val="1"/>
      <w:numFmt w:val="decimal"/>
      <w:lvlText w:val="%1.%2.%3.%4.%5.%6.%7.%8."/>
      <w:lvlJc w:val="left"/>
      <w:pPr>
        <w:ind w:left="767" w:hanging="1224"/>
      </w:pPr>
      <w:rPr>
        <w:rFonts w:hint="default"/>
      </w:rPr>
    </w:lvl>
    <w:lvl w:ilvl="8" w:tentative="0">
      <w:start w:val="1"/>
      <w:numFmt w:val="decimal"/>
      <w:lvlText w:val="%1.%2.%3.%4.%5.%6.%7.%8.%9."/>
      <w:lvlJc w:val="left"/>
      <w:pPr>
        <w:ind w:left="1343" w:hanging="1440"/>
      </w:pPr>
      <w:rPr>
        <w:rFonts w:hint="default"/>
      </w:rPr>
    </w:lvl>
  </w:abstractNum>
  <w:abstractNum w:abstractNumId="11">
    <w:nsid w:val="2019089D"/>
    <w:multiLevelType w:val="multilevel"/>
    <w:tmpl w:val="2019089D"/>
    <w:lvl w:ilvl="0" w:tentative="0">
      <w:start w:val="1"/>
      <w:numFmt w:val="decimal"/>
      <w:lvlText w:val="%1."/>
      <w:lvlJc w:val="left"/>
      <w:pPr>
        <w:ind w:left="360" w:hanging="360"/>
      </w:pPr>
      <w:rPr>
        <w:b/>
        <w:color w:val="auto"/>
      </w:rPr>
    </w:lvl>
    <w:lvl w:ilvl="1" w:tentative="0">
      <w:start w:val="1"/>
      <w:numFmt w:val="decimal"/>
      <w:lvlText w:val="9.%2"/>
      <w:lvlJc w:val="left"/>
      <w:pPr>
        <w:ind w:left="1211" w:hanging="360"/>
      </w:pPr>
      <w:rPr>
        <w:rFonts w:hint="default"/>
        <w:b w:val="0"/>
        <w:bCs w:val="0"/>
      </w:rPr>
    </w:lvl>
    <w:lvl w:ilvl="2" w:tentative="0">
      <w:start w:val="1"/>
      <w:numFmt w:val="decimal"/>
      <w:lvlText w:val="%1.%2.%3."/>
      <w:lvlJc w:val="left"/>
      <w:pPr>
        <w:ind w:left="1497" w:hanging="504"/>
      </w:pPr>
      <w:rPr>
        <w:rFonts w:hint="default"/>
        <w:b w:val="0"/>
        <w:bCs w:val="0"/>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2">
    <w:nsid w:val="2B8F3A85"/>
    <w:multiLevelType w:val="multilevel"/>
    <w:tmpl w:val="2B8F3A85"/>
    <w:lvl w:ilvl="0" w:tentative="0">
      <w:start w:val="5"/>
      <w:numFmt w:val="decimal"/>
      <w:lvlText w:val="%1"/>
      <w:lvlJc w:val="left"/>
      <w:pPr>
        <w:ind w:left="435" w:hanging="435"/>
      </w:pPr>
      <w:rPr>
        <w:rFonts w:hint="default"/>
      </w:rPr>
    </w:lvl>
    <w:lvl w:ilvl="1" w:tentative="0">
      <w:start w:val="2"/>
      <w:numFmt w:val="decimal"/>
      <w:lvlText w:val="%1.%2"/>
      <w:lvlJc w:val="left"/>
      <w:pPr>
        <w:ind w:left="435" w:hanging="435"/>
      </w:pPr>
      <w:rPr>
        <w:rFonts w:hint="default"/>
        <w:b/>
        <w:bCs/>
      </w:rPr>
    </w:lvl>
    <w:lvl w:ilvl="2" w:tentative="0">
      <w:start w:val="1"/>
      <w:numFmt w:val="decimal"/>
      <w:lvlText w:val="%1.%2.%3"/>
      <w:lvlJc w:val="left"/>
      <w:pPr>
        <w:ind w:left="720" w:hanging="720"/>
      </w:pPr>
      <w:rPr>
        <w:rFonts w:hint="default" w:ascii="Arial" w:hAnsi="Arial" w:cs="Arial"/>
        <w:b w:val="0"/>
        <w:bCs w:val="0"/>
        <w:sz w:val="18"/>
        <w:szCs w:val="18"/>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3">
    <w:nsid w:val="33940462"/>
    <w:multiLevelType w:val="multilevel"/>
    <w:tmpl w:val="339404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489695D"/>
    <w:multiLevelType w:val="singleLevel"/>
    <w:tmpl w:val="3489695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5">
    <w:nsid w:val="352C2599"/>
    <w:multiLevelType w:val="multilevel"/>
    <w:tmpl w:val="352C2599"/>
    <w:lvl w:ilvl="0" w:tentative="0">
      <w:start w:val="5"/>
      <w:numFmt w:val="decimal"/>
      <w:lvlText w:val="%1"/>
      <w:lvlJc w:val="left"/>
      <w:pPr>
        <w:ind w:left="720" w:hanging="360"/>
      </w:pPr>
      <w:rPr>
        <w:rFonts w:hint="default" w:ascii="Times New Roman" w:hAnsi="Times New Roman" w:cs="Times New Roman"/>
      </w:rPr>
    </w:lvl>
    <w:lvl w:ilvl="1" w:tentative="0">
      <w:start w:val="1"/>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rPr>
    </w:lvl>
    <w:lvl w:ilvl="3" w:tentative="0">
      <w:start w:val="1"/>
      <w:numFmt w:val="decimal"/>
      <w:lvlText w:val="%1.%2.%3.%4"/>
      <w:lvlJc w:val="left"/>
      <w:pPr>
        <w:ind w:left="2880" w:hanging="360"/>
      </w:pPr>
      <w:rPr>
        <w:rFonts w:hint="default" w:ascii="Times New Roman" w:hAnsi="Times New Roman" w:cs="Times New Roman"/>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6">
    <w:nsid w:val="37020C76"/>
    <w:multiLevelType w:val="multilevel"/>
    <w:tmpl w:val="37020C76"/>
    <w:lvl w:ilvl="0" w:tentative="0">
      <w:start w:val="9"/>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7">
    <w:nsid w:val="43A671AE"/>
    <w:multiLevelType w:val="multilevel"/>
    <w:tmpl w:val="43A671AE"/>
    <w:lvl w:ilvl="0" w:tentative="0">
      <w:start w:val="1"/>
      <w:numFmt w:val="decimal"/>
      <w:lvlText w:val="%1."/>
      <w:lvlJc w:val="left"/>
      <w:pPr>
        <w:ind w:left="360" w:hanging="360"/>
      </w:pPr>
      <w:rPr>
        <w:b/>
      </w:rPr>
    </w:lvl>
    <w:lvl w:ilvl="1" w:tentative="0">
      <w:start w:val="1"/>
      <w:numFmt w:val="decimal"/>
      <w:lvlText w:val="2.%2"/>
      <w:lvlJc w:val="left"/>
      <w:pPr>
        <w:ind w:left="792" w:hanging="432"/>
      </w:pPr>
      <w:rPr>
        <w:rFonts w:hint="default"/>
        <w:b/>
        <w:sz w:val="20"/>
        <w:szCs w:val="20"/>
      </w:rPr>
    </w:lvl>
    <w:lvl w:ilvl="2" w:tentative="0">
      <w:start w:val="1"/>
      <w:numFmt w:val="decimal"/>
      <w:lvlText w:val="5.%3"/>
      <w:lvlJc w:val="left"/>
      <w:pPr>
        <w:ind w:left="504" w:hanging="504"/>
      </w:pPr>
      <w:rPr>
        <w:rFonts w:hint="default"/>
        <w:b w:val="0"/>
        <w:bCs/>
        <w:sz w:val="18"/>
        <w:szCs w:val="18"/>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8">
    <w:nsid w:val="50005922"/>
    <w:multiLevelType w:val="multilevel"/>
    <w:tmpl w:val="50005922"/>
    <w:lvl w:ilvl="0" w:tentative="0">
      <w:start w:val="3"/>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0150624"/>
    <w:multiLevelType w:val="multilevel"/>
    <w:tmpl w:val="50150624"/>
    <w:lvl w:ilvl="0" w:tentative="0">
      <w:start w:val="1"/>
      <w:numFmt w:val="decimal"/>
      <w:pStyle w:val="278"/>
      <w:lvlText w:val="%1."/>
      <w:lvlJc w:val="left"/>
      <w:pPr>
        <w:ind w:left="360" w:hanging="360"/>
      </w:pPr>
      <w:rPr>
        <w:rFonts w:hint="default"/>
        <w:b/>
      </w:rPr>
    </w:lvl>
    <w:lvl w:ilvl="1" w:tentative="0">
      <w:start w:val="1"/>
      <w:numFmt w:val="decimal"/>
      <w:pStyle w:val="320"/>
      <w:lvlText w:val="%1.%2."/>
      <w:lvlJc w:val="left"/>
      <w:pPr>
        <w:ind w:left="999" w:hanging="432"/>
      </w:pPr>
      <w:rPr>
        <w:rFonts w:hint="default" w:ascii="Arial" w:hAnsi="Arial" w:cs="Arial"/>
        <w:b w:val="0"/>
        <w:i w:val="0"/>
        <w:strike w:val="0"/>
        <w:color w:val="auto"/>
        <w:sz w:val="20"/>
        <w:szCs w:val="20"/>
        <w:u w:val="none"/>
      </w:rPr>
    </w:lvl>
    <w:lvl w:ilvl="2" w:tentative="0">
      <w:start w:val="1"/>
      <w:numFmt w:val="decimal"/>
      <w:pStyle w:val="310"/>
      <w:lvlText w:val="%1.%2.%3."/>
      <w:lvlJc w:val="left"/>
      <w:pPr>
        <w:ind w:left="163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0">
    <w:nsid w:val="520F70B1"/>
    <w:multiLevelType w:val="multilevel"/>
    <w:tmpl w:val="520F70B1"/>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720" w:hanging="360"/>
      </w:pPr>
    </w:lvl>
    <w:lvl w:ilvl="2" w:tentative="0">
      <w:start w:val="1"/>
      <w:numFmt w:val="lowerRoman"/>
      <w:lvlText w:val="%3)"/>
      <w:lvlJc w:val="left"/>
      <w:pPr>
        <w:tabs>
          <w:tab w:val="left" w:pos="0"/>
        </w:tabs>
        <w:ind w:left="1080" w:hanging="360"/>
      </w:pPr>
    </w:lvl>
    <w:lvl w:ilvl="3" w:tentative="0">
      <w:start w:val="1"/>
      <w:numFmt w:val="decimal"/>
      <w:lvlText w:val="(%4)"/>
      <w:lvlJc w:val="left"/>
      <w:pPr>
        <w:tabs>
          <w:tab w:val="left" w:pos="0"/>
        </w:tabs>
        <w:ind w:left="1440" w:hanging="360"/>
      </w:pPr>
      <w:rPr>
        <w:i w:val="0"/>
      </w:rPr>
    </w:lvl>
    <w:lvl w:ilvl="4" w:tentative="0">
      <w:start w:val="1"/>
      <w:numFmt w:val="lowerLetter"/>
      <w:lvlText w:val="(%5)"/>
      <w:lvlJc w:val="left"/>
      <w:pPr>
        <w:tabs>
          <w:tab w:val="left" w:pos="0"/>
        </w:tabs>
        <w:ind w:left="1800" w:hanging="360"/>
      </w:pPr>
    </w:lvl>
    <w:lvl w:ilvl="5" w:tentative="0">
      <w:start w:val="1"/>
      <w:numFmt w:val="lowerRoman"/>
      <w:lvlText w:val="(%6)"/>
      <w:lvlJc w:val="left"/>
      <w:pPr>
        <w:tabs>
          <w:tab w:val="left" w:pos="0"/>
        </w:tabs>
        <w:ind w:left="2160" w:hanging="360"/>
      </w:pPr>
    </w:lvl>
    <w:lvl w:ilvl="6" w:tentative="0">
      <w:start w:val="1"/>
      <w:numFmt w:val="decimal"/>
      <w:lvlText w:val="%7."/>
      <w:lvlJc w:val="left"/>
      <w:pPr>
        <w:tabs>
          <w:tab w:val="left" w:pos="0"/>
        </w:tabs>
        <w:ind w:left="2520" w:hanging="360"/>
      </w:pPr>
    </w:lvl>
    <w:lvl w:ilvl="7" w:tentative="0">
      <w:start w:val="1"/>
      <w:numFmt w:val="lowerLetter"/>
      <w:lvlText w:val="%8."/>
      <w:lvlJc w:val="left"/>
      <w:pPr>
        <w:tabs>
          <w:tab w:val="left" w:pos="0"/>
        </w:tabs>
        <w:ind w:left="2880" w:hanging="360"/>
      </w:pPr>
    </w:lvl>
    <w:lvl w:ilvl="8" w:tentative="0">
      <w:start w:val="1"/>
      <w:numFmt w:val="lowerRoman"/>
      <w:lvlText w:val="%9."/>
      <w:lvlJc w:val="left"/>
      <w:pPr>
        <w:tabs>
          <w:tab w:val="left" w:pos="0"/>
        </w:tabs>
        <w:ind w:left="3240" w:hanging="360"/>
      </w:pPr>
    </w:lvl>
  </w:abstractNum>
  <w:abstractNum w:abstractNumId="21">
    <w:nsid w:val="54A1635A"/>
    <w:multiLevelType w:val="multilevel"/>
    <w:tmpl w:val="54A1635A"/>
    <w:lvl w:ilvl="0" w:tentative="0">
      <w:start w:val="10"/>
      <w:numFmt w:val="decimal"/>
      <w:lvlText w:val="%1"/>
      <w:lvlJc w:val="left"/>
      <w:pPr>
        <w:ind w:left="384" w:hanging="384"/>
      </w:pPr>
      <w:rPr>
        <w:rFonts w:hint="default"/>
      </w:rPr>
    </w:lvl>
    <w:lvl w:ilvl="1" w:tentative="0">
      <w:start w:val="1"/>
      <w:numFmt w:val="decimal"/>
      <w:lvlText w:val="%1.%2"/>
      <w:lvlJc w:val="left"/>
      <w:pPr>
        <w:ind w:left="384" w:hanging="384"/>
      </w:pPr>
      <w:rPr>
        <w:rFonts w:hint="default" w:ascii="Arial" w:hAnsi="Arial" w:cs="Arial"/>
        <w:sz w:val="18"/>
        <w:szCs w:val="18"/>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2">
    <w:nsid w:val="5B0D4173"/>
    <w:multiLevelType w:val="multilevel"/>
    <w:tmpl w:val="5B0D4173"/>
    <w:lvl w:ilvl="0" w:tentative="0">
      <w:start w:val="8"/>
      <w:numFmt w:val="decimal"/>
      <w:lvlText w:val="%1"/>
      <w:lvlJc w:val="left"/>
      <w:pPr>
        <w:ind w:left="360" w:hanging="360"/>
      </w:pPr>
      <w:rPr>
        <w:rFonts w:hint="default"/>
      </w:rPr>
    </w:lvl>
    <w:lvl w:ilvl="1" w:tentative="0">
      <w:start w:val="1"/>
      <w:numFmt w:val="decimal"/>
      <w:lvlText w:val="%1.%2"/>
      <w:lvlJc w:val="left"/>
      <w:pPr>
        <w:ind w:left="786" w:hanging="360"/>
      </w:pPr>
      <w:rPr>
        <w:rFonts w:hint="default"/>
        <w:i w:val="0"/>
      </w:rPr>
    </w:lvl>
    <w:lvl w:ilvl="2" w:tentative="0">
      <w:start w:val="1"/>
      <w:numFmt w:val="decimal"/>
      <w:lvlText w:val="%1.%2.%3"/>
      <w:lvlJc w:val="left"/>
      <w:pPr>
        <w:ind w:left="1572" w:hanging="720"/>
      </w:pPr>
      <w:rPr>
        <w:rFonts w:hint="default"/>
        <w:i w:val="0"/>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23">
    <w:nsid w:val="63CA7D1E"/>
    <w:multiLevelType w:val="multilevel"/>
    <w:tmpl w:val="63CA7D1E"/>
    <w:lvl w:ilvl="0" w:tentative="0">
      <w:start w:val="1"/>
      <w:numFmt w:val="bullet"/>
      <w:lvlText w:val=""/>
      <w:lvlJc w:val="left"/>
      <w:pPr>
        <w:ind w:left="153" w:hanging="360"/>
      </w:pPr>
      <w:rPr>
        <w:rFonts w:hint="default" w:ascii="Wingdings" w:hAnsi="Wingdings"/>
      </w:rPr>
    </w:lvl>
    <w:lvl w:ilvl="1" w:tentative="0">
      <w:start w:val="1"/>
      <w:numFmt w:val="bullet"/>
      <w:lvlText w:val="o"/>
      <w:lvlJc w:val="left"/>
      <w:pPr>
        <w:ind w:left="873" w:hanging="360"/>
      </w:pPr>
      <w:rPr>
        <w:rFonts w:hint="default" w:ascii="Courier New" w:hAnsi="Courier New" w:cs="Courier New"/>
      </w:rPr>
    </w:lvl>
    <w:lvl w:ilvl="2" w:tentative="0">
      <w:start w:val="1"/>
      <w:numFmt w:val="bullet"/>
      <w:lvlText w:val=""/>
      <w:lvlJc w:val="left"/>
      <w:pPr>
        <w:ind w:left="1593" w:hanging="360"/>
      </w:pPr>
      <w:rPr>
        <w:rFonts w:hint="default" w:ascii="Wingdings" w:hAnsi="Wingdings"/>
      </w:rPr>
    </w:lvl>
    <w:lvl w:ilvl="3" w:tentative="0">
      <w:start w:val="1"/>
      <w:numFmt w:val="bullet"/>
      <w:lvlText w:val=""/>
      <w:lvlJc w:val="left"/>
      <w:pPr>
        <w:ind w:left="2313" w:hanging="360"/>
      </w:pPr>
      <w:rPr>
        <w:rFonts w:hint="default" w:ascii="Symbol" w:hAnsi="Symbol"/>
      </w:rPr>
    </w:lvl>
    <w:lvl w:ilvl="4" w:tentative="0">
      <w:start w:val="1"/>
      <w:numFmt w:val="bullet"/>
      <w:lvlText w:val="o"/>
      <w:lvlJc w:val="left"/>
      <w:pPr>
        <w:ind w:left="3033" w:hanging="360"/>
      </w:pPr>
      <w:rPr>
        <w:rFonts w:hint="default" w:ascii="Courier New" w:hAnsi="Courier New" w:cs="Courier New"/>
      </w:rPr>
    </w:lvl>
    <w:lvl w:ilvl="5" w:tentative="0">
      <w:start w:val="1"/>
      <w:numFmt w:val="bullet"/>
      <w:lvlText w:val=""/>
      <w:lvlJc w:val="left"/>
      <w:pPr>
        <w:ind w:left="3753" w:hanging="360"/>
      </w:pPr>
      <w:rPr>
        <w:rFonts w:hint="default" w:ascii="Wingdings" w:hAnsi="Wingdings"/>
      </w:rPr>
    </w:lvl>
    <w:lvl w:ilvl="6" w:tentative="0">
      <w:start w:val="1"/>
      <w:numFmt w:val="bullet"/>
      <w:lvlText w:val=""/>
      <w:lvlJc w:val="left"/>
      <w:pPr>
        <w:ind w:left="4473" w:hanging="360"/>
      </w:pPr>
      <w:rPr>
        <w:rFonts w:hint="default" w:ascii="Symbol" w:hAnsi="Symbol"/>
      </w:rPr>
    </w:lvl>
    <w:lvl w:ilvl="7" w:tentative="0">
      <w:start w:val="1"/>
      <w:numFmt w:val="bullet"/>
      <w:lvlText w:val="o"/>
      <w:lvlJc w:val="left"/>
      <w:pPr>
        <w:ind w:left="5193" w:hanging="360"/>
      </w:pPr>
      <w:rPr>
        <w:rFonts w:hint="default" w:ascii="Courier New" w:hAnsi="Courier New" w:cs="Courier New"/>
      </w:rPr>
    </w:lvl>
    <w:lvl w:ilvl="8" w:tentative="0">
      <w:start w:val="1"/>
      <w:numFmt w:val="bullet"/>
      <w:lvlText w:val=""/>
      <w:lvlJc w:val="left"/>
      <w:pPr>
        <w:ind w:left="5913" w:hanging="360"/>
      </w:pPr>
      <w:rPr>
        <w:rFonts w:hint="default" w:ascii="Wingdings" w:hAnsi="Wingdings"/>
      </w:rPr>
    </w:lvl>
  </w:abstractNum>
  <w:abstractNum w:abstractNumId="24">
    <w:nsid w:val="6421523D"/>
    <w:multiLevelType w:val="singleLevel"/>
    <w:tmpl w:val="6421523D"/>
    <w:lvl w:ilvl="0" w:tentative="0">
      <w:start w:val="18"/>
      <w:numFmt w:val="decimal"/>
      <w:suff w:val="space"/>
      <w:lvlText w:val="%1."/>
      <w:lvlJc w:val="left"/>
    </w:lvl>
  </w:abstractNum>
  <w:abstractNum w:abstractNumId="25">
    <w:nsid w:val="6C3E65F1"/>
    <w:multiLevelType w:val="multilevel"/>
    <w:tmpl w:val="6C3E65F1"/>
    <w:lvl w:ilvl="0" w:tentative="0">
      <w:start w:val="7"/>
      <w:numFmt w:val="decimal"/>
      <w:lvlText w:val="%1"/>
      <w:lvlJc w:val="left"/>
      <w:pPr>
        <w:ind w:left="360" w:hanging="360"/>
      </w:pPr>
      <w:rPr>
        <w:rFonts w:hint="default" w:ascii="Garamond" w:hAnsi="Garamond" w:cs="Times New Roman"/>
        <w:b w:val="0"/>
        <w:sz w:val="24"/>
      </w:rPr>
    </w:lvl>
    <w:lvl w:ilvl="1" w:tentative="0">
      <w:start w:val="1"/>
      <w:numFmt w:val="decimal"/>
      <w:lvlText w:val="%1.%2"/>
      <w:lvlJc w:val="left"/>
      <w:pPr>
        <w:ind w:left="720" w:hanging="360"/>
      </w:pPr>
      <w:rPr>
        <w:rFonts w:hint="default" w:ascii="Arial" w:hAnsi="Arial" w:cs="Arial"/>
        <w:b w:val="0"/>
        <w:i w:val="0"/>
        <w:iCs w:val="0"/>
        <w:sz w:val="18"/>
        <w:szCs w:val="18"/>
      </w:rPr>
    </w:lvl>
    <w:lvl w:ilvl="2" w:tentative="0">
      <w:start w:val="1"/>
      <w:numFmt w:val="decimal"/>
      <w:lvlText w:val="%1.%2.%3"/>
      <w:lvlJc w:val="left"/>
      <w:pPr>
        <w:ind w:left="1440" w:hanging="720"/>
      </w:pPr>
      <w:rPr>
        <w:rFonts w:hint="default" w:ascii="Arial" w:hAnsi="Arial" w:cs="Arial"/>
        <w:b w:val="0"/>
        <w:sz w:val="18"/>
        <w:szCs w:val="18"/>
      </w:rPr>
    </w:lvl>
    <w:lvl w:ilvl="3" w:tentative="0">
      <w:start w:val="1"/>
      <w:numFmt w:val="decimal"/>
      <w:lvlText w:val="%1.%2.%3.%4"/>
      <w:lvlJc w:val="left"/>
      <w:pPr>
        <w:ind w:left="1800" w:hanging="720"/>
      </w:pPr>
      <w:rPr>
        <w:rFonts w:hint="default" w:ascii="Arial" w:hAnsi="Arial" w:cs="Arial"/>
        <w:b w:val="0"/>
        <w:sz w:val="18"/>
        <w:szCs w:val="18"/>
      </w:rPr>
    </w:lvl>
    <w:lvl w:ilvl="4" w:tentative="0">
      <w:start w:val="1"/>
      <w:numFmt w:val="decimal"/>
      <w:lvlText w:val="%1.%2.%3.%4.%5"/>
      <w:lvlJc w:val="left"/>
      <w:pPr>
        <w:ind w:left="2520" w:hanging="1080"/>
      </w:pPr>
      <w:rPr>
        <w:rFonts w:hint="default" w:ascii="Garamond" w:hAnsi="Garamond" w:cs="Times New Roman"/>
        <w:b w:val="0"/>
        <w:sz w:val="24"/>
      </w:rPr>
    </w:lvl>
    <w:lvl w:ilvl="5" w:tentative="0">
      <w:start w:val="1"/>
      <w:numFmt w:val="decimal"/>
      <w:lvlText w:val="%1.%2.%3.%4.%5.%6"/>
      <w:lvlJc w:val="left"/>
      <w:pPr>
        <w:ind w:left="2880" w:hanging="1080"/>
      </w:pPr>
      <w:rPr>
        <w:rFonts w:hint="default" w:ascii="Garamond" w:hAnsi="Garamond" w:cs="Times New Roman"/>
        <w:b w:val="0"/>
        <w:sz w:val="24"/>
      </w:rPr>
    </w:lvl>
    <w:lvl w:ilvl="6" w:tentative="0">
      <w:start w:val="1"/>
      <w:numFmt w:val="decimal"/>
      <w:lvlText w:val="%1.%2.%3.%4.%5.%6.%7"/>
      <w:lvlJc w:val="left"/>
      <w:pPr>
        <w:ind w:left="3600" w:hanging="1440"/>
      </w:pPr>
      <w:rPr>
        <w:rFonts w:hint="default" w:ascii="Garamond" w:hAnsi="Garamond" w:cs="Times New Roman"/>
        <w:b w:val="0"/>
        <w:sz w:val="24"/>
      </w:rPr>
    </w:lvl>
    <w:lvl w:ilvl="7" w:tentative="0">
      <w:start w:val="1"/>
      <w:numFmt w:val="decimal"/>
      <w:lvlText w:val="%1.%2.%3.%4.%5.%6.%7.%8"/>
      <w:lvlJc w:val="left"/>
      <w:pPr>
        <w:ind w:left="3960" w:hanging="1440"/>
      </w:pPr>
      <w:rPr>
        <w:rFonts w:hint="default" w:ascii="Garamond" w:hAnsi="Garamond" w:cs="Times New Roman"/>
        <w:b w:val="0"/>
        <w:sz w:val="24"/>
      </w:rPr>
    </w:lvl>
    <w:lvl w:ilvl="8" w:tentative="0">
      <w:start w:val="1"/>
      <w:numFmt w:val="decimal"/>
      <w:lvlText w:val="%1.%2.%3.%4.%5.%6.%7.%8.%9"/>
      <w:lvlJc w:val="left"/>
      <w:pPr>
        <w:ind w:left="4680" w:hanging="1800"/>
      </w:pPr>
      <w:rPr>
        <w:rFonts w:hint="default" w:ascii="Garamond" w:hAnsi="Garamond" w:cs="Times New Roman"/>
        <w:b w:val="0"/>
        <w:sz w:val="24"/>
      </w:rPr>
    </w:lvl>
  </w:abstractNum>
  <w:abstractNum w:abstractNumId="26">
    <w:nsid w:val="71DC5A1D"/>
    <w:multiLevelType w:val="multilevel"/>
    <w:tmpl w:val="71DC5A1D"/>
    <w:lvl w:ilvl="0" w:tentative="0">
      <w:start w:val="9"/>
      <w:numFmt w:val="decimal"/>
      <w:lvlText w:val="%1"/>
      <w:lvlJc w:val="left"/>
      <w:pPr>
        <w:ind w:left="720" w:hanging="360"/>
      </w:pPr>
      <w:rPr>
        <w:rFonts w:hint="default" w:ascii="Arial" w:hAnsi="Arial" w:cs="Arial"/>
      </w:rPr>
    </w:lvl>
    <w:lvl w:ilvl="1" w:tentative="0">
      <w:start w:val="3"/>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sz w:val="18"/>
        <w:szCs w:val="18"/>
      </w:rPr>
    </w:lvl>
    <w:lvl w:ilvl="3" w:tentative="0">
      <w:start w:val="1"/>
      <w:numFmt w:val="decimal"/>
      <w:lvlText w:val="%1.%2.%3.%4"/>
      <w:lvlJc w:val="left"/>
      <w:pPr>
        <w:ind w:left="2880" w:hanging="360"/>
      </w:pPr>
      <w:rPr>
        <w:rFonts w:hint="default" w:ascii="Arial" w:hAnsi="Arial" w:cs="Arial"/>
        <w:sz w:val="18"/>
        <w:szCs w:val="18"/>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27">
    <w:nsid w:val="77ECEA79"/>
    <w:multiLevelType w:val="multilevel"/>
    <w:tmpl w:val="77ECEA79"/>
    <w:lvl w:ilvl="0" w:tentative="0">
      <w:start w:val="1"/>
      <w:numFmt w:val="lowerLetter"/>
      <w:lvlText w:val="%1)"/>
      <w:lvlJc w:val="left"/>
      <w:pPr>
        <w:ind w:left="440" w:hanging="229"/>
        <w:jc w:val="left"/>
      </w:pPr>
      <w:rPr>
        <w:rFonts w:hint="default" w:ascii="Arial" w:hAnsi="Arial" w:eastAsia="Times New Roman" w:cs="Arial"/>
        <w:b w:val="0"/>
        <w:bCs w:val="0"/>
        <w:i w:val="0"/>
        <w:iCs w:val="0"/>
        <w:color w:val="101010"/>
        <w:spacing w:val="0"/>
        <w:w w:val="100"/>
        <w:sz w:val="18"/>
        <w:szCs w:val="18"/>
        <w:lang w:val="pt-PT" w:eastAsia="en-US" w:bidi="ar-SA"/>
      </w:rPr>
    </w:lvl>
    <w:lvl w:ilvl="1" w:tentative="0">
      <w:start w:val="0"/>
      <w:numFmt w:val="bullet"/>
      <w:lvlText w:val="•"/>
      <w:lvlJc w:val="left"/>
      <w:pPr>
        <w:ind w:left="1394" w:hanging="229"/>
      </w:pPr>
      <w:rPr>
        <w:rFonts w:hint="default"/>
        <w:lang w:val="pt-PT" w:eastAsia="en-US" w:bidi="ar-SA"/>
      </w:rPr>
    </w:lvl>
    <w:lvl w:ilvl="2" w:tentative="0">
      <w:start w:val="0"/>
      <w:numFmt w:val="bullet"/>
      <w:lvlText w:val="•"/>
      <w:lvlJc w:val="left"/>
      <w:pPr>
        <w:ind w:left="2349" w:hanging="229"/>
      </w:pPr>
      <w:rPr>
        <w:rFonts w:hint="default"/>
        <w:lang w:val="pt-PT" w:eastAsia="en-US" w:bidi="ar-SA"/>
      </w:rPr>
    </w:lvl>
    <w:lvl w:ilvl="3" w:tentative="0">
      <w:start w:val="0"/>
      <w:numFmt w:val="bullet"/>
      <w:lvlText w:val="•"/>
      <w:lvlJc w:val="left"/>
      <w:pPr>
        <w:ind w:left="3303" w:hanging="229"/>
      </w:pPr>
      <w:rPr>
        <w:rFonts w:hint="default"/>
        <w:lang w:val="pt-PT" w:eastAsia="en-US" w:bidi="ar-SA"/>
      </w:rPr>
    </w:lvl>
    <w:lvl w:ilvl="4" w:tentative="0">
      <w:start w:val="0"/>
      <w:numFmt w:val="bullet"/>
      <w:lvlText w:val="•"/>
      <w:lvlJc w:val="left"/>
      <w:pPr>
        <w:ind w:left="4258" w:hanging="229"/>
      </w:pPr>
      <w:rPr>
        <w:rFonts w:hint="default"/>
        <w:lang w:val="pt-PT" w:eastAsia="en-US" w:bidi="ar-SA"/>
      </w:rPr>
    </w:lvl>
    <w:lvl w:ilvl="5" w:tentative="0">
      <w:start w:val="0"/>
      <w:numFmt w:val="bullet"/>
      <w:lvlText w:val="•"/>
      <w:lvlJc w:val="left"/>
      <w:pPr>
        <w:ind w:left="5213" w:hanging="229"/>
      </w:pPr>
      <w:rPr>
        <w:rFonts w:hint="default"/>
        <w:lang w:val="pt-PT" w:eastAsia="en-US" w:bidi="ar-SA"/>
      </w:rPr>
    </w:lvl>
    <w:lvl w:ilvl="6" w:tentative="0">
      <w:start w:val="0"/>
      <w:numFmt w:val="bullet"/>
      <w:lvlText w:val="•"/>
      <w:lvlJc w:val="left"/>
      <w:pPr>
        <w:ind w:left="6167" w:hanging="229"/>
      </w:pPr>
      <w:rPr>
        <w:rFonts w:hint="default"/>
        <w:lang w:val="pt-PT" w:eastAsia="en-US" w:bidi="ar-SA"/>
      </w:rPr>
    </w:lvl>
    <w:lvl w:ilvl="7" w:tentative="0">
      <w:start w:val="0"/>
      <w:numFmt w:val="bullet"/>
      <w:lvlText w:val="•"/>
      <w:lvlJc w:val="left"/>
      <w:pPr>
        <w:ind w:left="7122" w:hanging="229"/>
      </w:pPr>
      <w:rPr>
        <w:rFonts w:hint="default"/>
        <w:lang w:val="pt-PT" w:eastAsia="en-US" w:bidi="ar-SA"/>
      </w:rPr>
    </w:lvl>
    <w:lvl w:ilvl="8" w:tentative="0">
      <w:start w:val="0"/>
      <w:numFmt w:val="bullet"/>
      <w:lvlText w:val="•"/>
      <w:lvlJc w:val="left"/>
      <w:pPr>
        <w:ind w:left="8077" w:hanging="229"/>
      </w:pPr>
      <w:rPr>
        <w:rFonts w:hint="default"/>
        <w:lang w:val="pt-PT" w:eastAsia="en-US" w:bidi="ar-SA"/>
      </w:rPr>
    </w:lvl>
  </w:abstractNum>
  <w:abstractNum w:abstractNumId="28">
    <w:nsid w:val="7B02FAB7"/>
    <w:multiLevelType w:val="singleLevel"/>
    <w:tmpl w:val="7B02FAB7"/>
    <w:lvl w:ilvl="0" w:tentative="0">
      <w:start w:val="1"/>
      <w:numFmt w:val="decimal"/>
      <w:lvlText w:val="8.9.5.%1."/>
      <w:lvlJc w:val="left"/>
      <w:pPr>
        <w:tabs>
          <w:tab w:val="left" w:pos="425"/>
        </w:tabs>
        <w:ind w:left="425" w:leftChars="0" w:hanging="425" w:firstLineChars="0"/>
      </w:pPr>
      <w:rPr>
        <w:rFonts w:hint="default"/>
      </w:rPr>
    </w:lvl>
  </w:abstractNum>
  <w:abstractNum w:abstractNumId="29">
    <w:nsid w:val="7BE66D90"/>
    <w:multiLevelType w:val="multilevel"/>
    <w:tmpl w:val="7BE66D90"/>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ascii="Arial" w:hAnsi="Arial" w:cs="Arial"/>
        <w:b w:val="0"/>
        <w:bCs/>
        <w:color w:val="auto"/>
        <w:sz w:val="18"/>
        <w:szCs w:val="18"/>
      </w:rPr>
    </w:lvl>
    <w:lvl w:ilvl="2" w:tentative="0">
      <w:start w:val="1"/>
      <w:numFmt w:val="decimal"/>
      <w:lvlText w:val="%1.%2.%3"/>
      <w:lvlJc w:val="left"/>
      <w:pPr>
        <w:ind w:left="720" w:hanging="720"/>
      </w:pPr>
      <w:rPr>
        <w:rFonts w:hint="default" w:ascii="Arial" w:hAnsi="Arial" w:cs="Arial"/>
        <w:b w:val="0"/>
        <w:bCs w:val="0"/>
        <w:color w:val="auto"/>
        <w:sz w:val="18"/>
        <w:szCs w:val="18"/>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0">
    <w:nsid w:val="7E0C6AE4"/>
    <w:multiLevelType w:val="multilevel"/>
    <w:tmpl w:val="7E0C6AE4"/>
    <w:lvl w:ilvl="0" w:tentative="0">
      <w:start w:val="8"/>
      <w:numFmt w:val="decimal"/>
      <w:lvlText w:val="%1"/>
      <w:lvlJc w:val="left"/>
      <w:pPr>
        <w:ind w:left="435" w:hanging="435"/>
      </w:pPr>
      <w:rPr>
        <w:rFonts w:hint="default"/>
      </w:rPr>
    </w:lvl>
    <w:lvl w:ilvl="1" w:tentative="0">
      <w:start w:val="9"/>
      <w:numFmt w:val="decimal"/>
      <w:lvlText w:val="%1.%2"/>
      <w:lvlJc w:val="left"/>
      <w:pPr>
        <w:ind w:left="435" w:hanging="435"/>
      </w:pPr>
      <w:rPr>
        <w:rFonts w:hint="default" w:ascii="Arial" w:hAnsi="Arial" w:cs="Arial"/>
        <w:i w:val="0"/>
        <w:iCs w:val="0"/>
        <w:sz w:val="18"/>
        <w:szCs w:val="18"/>
      </w:rPr>
    </w:lvl>
    <w:lvl w:ilvl="2" w:tentative="0">
      <w:start w:val="5"/>
      <w:numFmt w:val="decimal"/>
      <w:lvlText w:val="%1.%2.%3"/>
      <w:lvlJc w:val="left"/>
      <w:pPr>
        <w:ind w:left="720" w:hanging="720"/>
      </w:pPr>
      <w:rPr>
        <w:rFonts w:hint="default"/>
        <w:sz w:val="19"/>
        <w:szCs w:val="19"/>
      </w:rPr>
    </w:lvl>
    <w:lvl w:ilvl="3" w:tentative="0">
      <w:start w:val="1"/>
      <w:numFmt w:val="decimal"/>
      <w:lvlText w:val="%1.%2.%3.%4"/>
      <w:lvlJc w:val="left"/>
      <w:pPr>
        <w:ind w:left="720" w:hanging="720"/>
      </w:pPr>
      <w:rPr>
        <w:rFonts w:hint="default"/>
        <w:b w:val="0"/>
        <w:bCs w:val="0"/>
        <w:color w:val="auto"/>
        <w:sz w:val="19"/>
        <w:szCs w:val="19"/>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1">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19"/>
  </w:num>
  <w:num w:numId="2">
    <w:abstractNumId w:val="14"/>
  </w:num>
  <w:num w:numId="3">
    <w:abstractNumId w:val="29"/>
  </w:num>
  <w:num w:numId="4">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2"/>
  </w:num>
  <w:num w:numId="9">
    <w:abstractNumId w:val="30"/>
  </w:num>
  <w:num w:numId="10">
    <w:abstractNumId w:val="28"/>
  </w:num>
  <w:num w:numId="11">
    <w:abstractNumId w:val="27"/>
  </w:num>
  <w:num w:numId="12">
    <w:abstractNumId w:val="16"/>
  </w:num>
  <w:num w:numId="13">
    <w:abstractNumId w:val="26"/>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5"/>
  </w:num>
  <w:num w:numId="17">
    <w:abstractNumId w:val="24"/>
  </w:num>
  <w:num w:numId="18">
    <w:abstractNumId w:val="13"/>
  </w:num>
  <w:num w:numId="19">
    <w:abstractNumId w:val="18"/>
  </w:num>
  <w:num w:numId="20">
    <w:abstractNumId w:val="9"/>
  </w:num>
  <w:num w:numId="21">
    <w:abstractNumId w:val="0"/>
  </w:num>
  <w:num w:numId="22">
    <w:abstractNumId w:val="23"/>
  </w:num>
  <w:num w:numId="23">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7"/>
  </w:num>
  <w:num w:numId="26">
    <w:abstractNumId w:val="8"/>
  </w:num>
  <w:num w:numId="27">
    <w:abstractNumId w:val="12"/>
  </w:num>
  <w:num w:numId="28">
    <w:abstractNumId w:val="1"/>
  </w:num>
  <w:num w:numId="29">
    <w:abstractNumId w:val="7"/>
  </w:num>
  <w:num w:numId="30">
    <w:abstractNumId w:val="11"/>
  </w:num>
  <w:num w:numId="31">
    <w:abstractNumId w:val="3"/>
  </w:num>
  <w:num w:numId="32">
    <w:abstractNumId w:val="31"/>
  </w:num>
  <w:num w:numId="33">
    <w:abstractNumId w:val="20"/>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C5F"/>
    <w:rsid w:val="00012B3D"/>
    <w:rsid w:val="00022813"/>
    <w:rsid w:val="00024C9A"/>
    <w:rsid w:val="00026A99"/>
    <w:rsid w:val="00030228"/>
    <w:rsid w:val="00032BEE"/>
    <w:rsid w:val="0004702A"/>
    <w:rsid w:val="00050CC7"/>
    <w:rsid w:val="0005122E"/>
    <w:rsid w:val="00064DA4"/>
    <w:rsid w:val="00071BF4"/>
    <w:rsid w:val="00075F2A"/>
    <w:rsid w:val="00076726"/>
    <w:rsid w:val="000A275E"/>
    <w:rsid w:val="000B63D8"/>
    <w:rsid w:val="000C097D"/>
    <w:rsid w:val="000D5E69"/>
    <w:rsid w:val="000E0677"/>
    <w:rsid w:val="00102414"/>
    <w:rsid w:val="001073A5"/>
    <w:rsid w:val="001118BC"/>
    <w:rsid w:val="00111A6B"/>
    <w:rsid w:val="00130213"/>
    <w:rsid w:val="00137027"/>
    <w:rsid w:val="001473EB"/>
    <w:rsid w:val="00153BB1"/>
    <w:rsid w:val="00156450"/>
    <w:rsid w:val="00163D21"/>
    <w:rsid w:val="00167739"/>
    <w:rsid w:val="001734BD"/>
    <w:rsid w:val="00174C28"/>
    <w:rsid w:val="001807B4"/>
    <w:rsid w:val="001A1B7D"/>
    <w:rsid w:val="001B066C"/>
    <w:rsid w:val="001B0CCB"/>
    <w:rsid w:val="001B50DC"/>
    <w:rsid w:val="001B7185"/>
    <w:rsid w:val="001C09BE"/>
    <w:rsid w:val="001C4CBA"/>
    <w:rsid w:val="001D1C5E"/>
    <w:rsid w:val="001D5018"/>
    <w:rsid w:val="001D784C"/>
    <w:rsid w:val="001D7C69"/>
    <w:rsid w:val="001E2670"/>
    <w:rsid w:val="001F4557"/>
    <w:rsid w:val="001F5985"/>
    <w:rsid w:val="00211183"/>
    <w:rsid w:val="002155DD"/>
    <w:rsid w:val="00220DA3"/>
    <w:rsid w:val="00223949"/>
    <w:rsid w:val="00226401"/>
    <w:rsid w:val="00226413"/>
    <w:rsid w:val="00234605"/>
    <w:rsid w:val="00246211"/>
    <w:rsid w:val="00250082"/>
    <w:rsid w:val="00276E1C"/>
    <w:rsid w:val="00292EC7"/>
    <w:rsid w:val="002937F3"/>
    <w:rsid w:val="00297109"/>
    <w:rsid w:val="002A02BF"/>
    <w:rsid w:val="002A31C1"/>
    <w:rsid w:val="002A4EE7"/>
    <w:rsid w:val="002B7E04"/>
    <w:rsid w:val="002C4261"/>
    <w:rsid w:val="002C547C"/>
    <w:rsid w:val="002C6AE7"/>
    <w:rsid w:val="002D2413"/>
    <w:rsid w:val="002E5576"/>
    <w:rsid w:val="002E69BC"/>
    <w:rsid w:val="002F556B"/>
    <w:rsid w:val="00310F05"/>
    <w:rsid w:val="00333B27"/>
    <w:rsid w:val="003441D9"/>
    <w:rsid w:val="0036238D"/>
    <w:rsid w:val="00372907"/>
    <w:rsid w:val="00381612"/>
    <w:rsid w:val="003A26BE"/>
    <w:rsid w:val="003A372C"/>
    <w:rsid w:val="003A49D0"/>
    <w:rsid w:val="003F6B81"/>
    <w:rsid w:val="0040052A"/>
    <w:rsid w:val="004075CF"/>
    <w:rsid w:val="004234C5"/>
    <w:rsid w:val="00426B7A"/>
    <w:rsid w:val="0043051F"/>
    <w:rsid w:val="00435427"/>
    <w:rsid w:val="0044377B"/>
    <w:rsid w:val="00462686"/>
    <w:rsid w:val="00463A5B"/>
    <w:rsid w:val="0048701F"/>
    <w:rsid w:val="004A185A"/>
    <w:rsid w:val="004A1C87"/>
    <w:rsid w:val="004A2D3C"/>
    <w:rsid w:val="004A4B93"/>
    <w:rsid w:val="004B2761"/>
    <w:rsid w:val="004C2F4D"/>
    <w:rsid w:val="004C4856"/>
    <w:rsid w:val="004E045D"/>
    <w:rsid w:val="004F5398"/>
    <w:rsid w:val="0050010A"/>
    <w:rsid w:val="00510AFF"/>
    <w:rsid w:val="00511C99"/>
    <w:rsid w:val="0051445E"/>
    <w:rsid w:val="00517214"/>
    <w:rsid w:val="00524165"/>
    <w:rsid w:val="0053291E"/>
    <w:rsid w:val="0054113E"/>
    <w:rsid w:val="00544658"/>
    <w:rsid w:val="00570DE4"/>
    <w:rsid w:val="00573190"/>
    <w:rsid w:val="005747F6"/>
    <w:rsid w:val="005775BC"/>
    <w:rsid w:val="005919FA"/>
    <w:rsid w:val="00594145"/>
    <w:rsid w:val="00595E2D"/>
    <w:rsid w:val="005B36DB"/>
    <w:rsid w:val="005C389B"/>
    <w:rsid w:val="005C4010"/>
    <w:rsid w:val="005C4A3A"/>
    <w:rsid w:val="005E4A00"/>
    <w:rsid w:val="00630D98"/>
    <w:rsid w:val="00635414"/>
    <w:rsid w:val="0063590C"/>
    <w:rsid w:val="00641522"/>
    <w:rsid w:val="00646069"/>
    <w:rsid w:val="00666C5F"/>
    <w:rsid w:val="0067457C"/>
    <w:rsid w:val="00674CC4"/>
    <w:rsid w:val="0067740A"/>
    <w:rsid w:val="006B0FCA"/>
    <w:rsid w:val="006B43DA"/>
    <w:rsid w:val="006C1B43"/>
    <w:rsid w:val="006C78D6"/>
    <w:rsid w:val="006D5FBE"/>
    <w:rsid w:val="006E1F91"/>
    <w:rsid w:val="006F1439"/>
    <w:rsid w:val="00710AC8"/>
    <w:rsid w:val="007126ED"/>
    <w:rsid w:val="00734B5D"/>
    <w:rsid w:val="00750615"/>
    <w:rsid w:val="007533D2"/>
    <w:rsid w:val="00763207"/>
    <w:rsid w:val="00770F93"/>
    <w:rsid w:val="00774C26"/>
    <w:rsid w:val="00780ED0"/>
    <w:rsid w:val="00782F02"/>
    <w:rsid w:val="007912F9"/>
    <w:rsid w:val="007A6CFA"/>
    <w:rsid w:val="007B499E"/>
    <w:rsid w:val="007B6D09"/>
    <w:rsid w:val="007C44DC"/>
    <w:rsid w:val="007C6B30"/>
    <w:rsid w:val="007D1FEA"/>
    <w:rsid w:val="007E1E41"/>
    <w:rsid w:val="007E2D0B"/>
    <w:rsid w:val="007E693A"/>
    <w:rsid w:val="007F07D7"/>
    <w:rsid w:val="007F1556"/>
    <w:rsid w:val="007F68E5"/>
    <w:rsid w:val="008107DE"/>
    <w:rsid w:val="0081385B"/>
    <w:rsid w:val="00813D36"/>
    <w:rsid w:val="0081473F"/>
    <w:rsid w:val="00820367"/>
    <w:rsid w:val="00821759"/>
    <w:rsid w:val="0082435F"/>
    <w:rsid w:val="00852B27"/>
    <w:rsid w:val="00862650"/>
    <w:rsid w:val="00862C73"/>
    <w:rsid w:val="00863CFA"/>
    <w:rsid w:val="008669E0"/>
    <w:rsid w:val="00873E9A"/>
    <w:rsid w:val="00875154"/>
    <w:rsid w:val="00886AE1"/>
    <w:rsid w:val="008A01A0"/>
    <w:rsid w:val="008A0A4D"/>
    <w:rsid w:val="008A5345"/>
    <w:rsid w:val="008B7111"/>
    <w:rsid w:val="008C2F6C"/>
    <w:rsid w:val="008E7380"/>
    <w:rsid w:val="008F357C"/>
    <w:rsid w:val="009050D1"/>
    <w:rsid w:val="00925C71"/>
    <w:rsid w:val="0093218B"/>
    <w:rsid w:val="0093584C"/>
    <w:rsid w:val="00936838"/>
    <w:rsid w:val="00941ED0"/>
    <w:rsid w:val="0094375A"/>
    <w:rsid w:val="009606A2"/>
    <w:rsid w:val="00975F91"/>
    <w:rsid w:val="0098734E"/>
    <w:rsid w:val="00991A98"/>
    <w:rsid w:val="00993813"/>
    <w:rsid w:val="009A066D"/>
    <w:rsid w:val="009A4127"/>
    <w:rsid w:val="009B015A"/>
    <w:rsid w:val="009C730D"/>
    <w:rsid w:val="009C7844"/>
    <w:rsid w:val="009D77B5"/>
    <w:rsid w:val="009E3BC6"/>
    <w:rsid w:val="009E776B"/>
    <w:rsid w:val="009F4903"/>
    <w:rsid w:val="00A04953"/>
    <w:rsid w:val="00A159DF"/>
    <w:rsid w:val="00A2229D"/>
    <w:rsid w:val="00A2415D"/>
    <w:rsid w:val="00A27A08"/>
    <w:rsid w:val="00A66816"/>
    <w:rsid w:val="00A678E1"/>
    <w:rsid w:val="00A7017A"/>
    <w:rsid w:val="00A8273D"/>
    <w:rsid w:val="00A83A2B"/>
    <w:rsid w:val="00A86806"/>
    <w:rsid w:val="00AB0B28"/>
    <w:rsid w:val="00AB1BF9"/>
    <w:rsid w:val="00AB4900"/>
    <w:rsid w:val="00AB7764"/>
    <w:rsid w:val="00AC054E"/>
    <w:rsid w:val="00AC2972"/>
    <w:rsid w:val="00AC363F"/>
    <w:rsid w:val="00AD587D"/>
    <w:rsid w:val="00AE192B"/>
    <w:rsid w:val="00AE1EED"/>
    <w:rsid w:val="00AF62C2"/>
    <w:rsid w:val="00B01F9E"/>
    <w:rsid w:val="00B035CF"/>
    <w:rsid w:val="00B20E99"/>
    <w:rsid w:val="00B21706"/>
    <w:rsid w:val="00B251F4"/>
    <w:rsid w:val="00B3639F"/>
    <w:rsid w:val="00B40BF4"/>
    <w:rsid w:val="00B419DB"/>
    <w:rsid w:val="00B50FBF"/>
    <w:rsid w:val="00B52E9D"/>
    <w:rsid w:val="00B607BE"/>
    <w:rsid w:val="00B70BA1"/>
    <w:rsid w:val="00B71F7A"/>
    <w:rsid w:val="00BA34B4"/>
    <w:rsid w:val="00BA534E"/>
    <w:rsid w:val="00BB242A"/>
    <w:rsid w:val="00BB757C"/>
    <w:rsid w:val="00BD2092"/>
    <w:rsid w:val="00BF5022"/>
    <w:rsid w:val="00BF6F4E"/>
    <w:rsid w:val="00C07C19"/>
    <w:rsid w:val="00C14B22"/>
    <w:rsid w:val="00C14D49"/>
    <w:rsid w:val="00C21473"/>
    <w:rsid w:val="00C2460E"/>
    <w:rsid w:val="00C42418"/>
    <w:rsid w:val="00C44A2D"/>
    <w:rsid w:val="00C44E9D"/>
    <w:rsid w:val="00C4777B"/>
    <w:rsid w:val="00C47A8B"/>
    <w:rsid w:val="00C60F9D"/>
    <w:rsid w:val="00C61BDD"/>
    <w:rsid w:val="00C61E71"/>
    <w:rsid w:val="00C677A6"/>
    <w:rsid w:val="00C717E7"/>
    <w:rsid w:val="00C73B7F"/>
    <w:rsid w:val="00C77553"/>
    <w:rsid w:val="00C83332"/>
    <w:rsid w:val="00C83532"/>
    <w:rsid w:val="00C86604"/>
    <w:rsid w:val="00CA5844"/>
    <w:rsid w:val="00CD1A26"/>
    <w:rsid w:val="00CE47FA"/>
    <w:rsid w:val="00CE4D36"/>
    <w:rsid w:val="00CE720C"/>
    <w:rsid w:val="00CE7A79"/>
    <w:rsid w:val="00D21D4F"/>
    <w:rsid w:val="00D279CC"/>
    <w:rsid w:val="00D42BB0"/>
    <w:rsid w:val="00D46C80"/>
    <w:rsid w:val="00D563CD"/>
    <w:rsid w:val="00D60939"/>
    <w:rsid w:val="00D62F36"/>
    <w:rsid w:val="00D76BA2"/>
    <w:rsid w:val="00D925CA"/>
    <w:rsid w:val="00D96400"/>
    <w:rsid w:val="00DA73BC"/>
    <w:rsid w:val="00DB0E91"/>
    <w:rsid w:val="00DD3177"/>
    <w:rsid w:val="00DF22B2"/>
    <w:rsid w:val="00DF26E0"/>
    <w:rsid w:val="00DF394D"/>
    <w:rsid w:val="00E0184D"/>
    <w:rsid w:val="00E05C8A"/>
    <w:rsid w:val="00E215C7"/>
    <w:rsid w:val="00E22B7A"/>
    <w:rsid w:val="00E35057"/>
    <w:rsid w:val="00E36E6F"/>
    <w:rsid w:val="00E3706E"/>
    <w:rsid w:val="00E3724B"/>
    <w:rsid w:val="00E41CF0"/>
    <w:rsid w:val="00E469D1"/>
    <w:rsid w:val="00E46EB1"/>
    <w:rsid w:val="00E571AF"/>
    <w:rsid w:val="00E648F2"/>
    <w:rsid w:val="00E7340B"/>
    <w:rsid w:val="00E9298E"/>
    <w:rsid w:val="00E94150"/>
    <w:rsid w:val="00EB2FF0"/>
    <w:rsid w:val="00EB51AE"/>
    <w:rsid w:val="00EB61D0"/>
    <w:rsid w:val="00EC0584"/>
    <w:rsid w:val="00EC21CA"/>
    <w:rsid w:val="00EE3395"/>
    <w:rsid w:val="00EE594E"/>
    <w:rsid w:val="00EE5B36"/>
    <w:rsid w:val="00EE6DD2"/>
    <w:rsid w:val="00F0155B"/>
    <w:rsid w:val="00F05486"/>
    <w:rsid w:val="00F06C53"/>
    <w:rsid w:val="00F127B1"/>
    <w:rsid w:val="00F127BD"/>
    <w:rsid w:val="00F172F0"/>
    <w:rsid w:val="00F30BCF"/>
    <w:rsid w:val="00F33239"/>
    <w:rsid w:val="00F56E97"/>
    <w:rsid w:val="00F5756B"/>
    <w:rsid w:val="00F775EF"/>
    <w:rsid w:val="00F8190F"/>
    <w:rsid w:val="00F911B7"/>
    <w:rsid w:val="00F91E3D"/>
    <w:rsid w:val="00F95686"/>
    <w:rsid w:val="00FC6F59"/>
    <w:rsid w:val="00FF553B"/>
    <w:rsid w:val="023F4F02"/>
    <w:rsid w:val="041462BE"/>
    <w:rsid w:val="046B1633"/>
    <w:rsid w:val="057672F2"/>
    <w:rsid w:val="05C36005"/>
    <w:rsid w:val="05DE29C6"/>
    <w:rsid w:val="06041F84"/>
    <w:rsid w:val="06A40338"/>
    <w:rsid w:val="06BD7EC9"/>
    <w:rsid w:val="071B739D"/>
    <w:rsid w:val="07B81938"/>
    <w:rsid w:val="07D04327"/>
    <w:rsid w:val="0A1A36A0"/>
    <w:rsid w:val="0A1B1122"/>
    <w:rsid w:val="0A1E5378"/>
    <w:rsid w:val="0A892C60"/>
    <w:rsid w:val="0B2E0FAF"/>
    <w:rsid w:val="0C6254CE"/>
    <w:rsid w:val="0C9B62D5"/>
    <w:rsid w:val="0CC5327E"/>
    <w:rsid w:val="0D084D71"/>
    <w:rsid w:val="0D7910A1"/>
    <w:rsid w:val="0F085E08"/>
    <w:rsid w:val="108D148E"/>
    <w:rsid w:val="11C747A2"/>
    <w:rsid w:val="123371E8"/>
    <w:rsid w:val="130A0F08"/>
    <w:rsid w:val="132135EE"/>
    <w:rsid w:val="134A4E0F"/>
    <w:rsid w:val="140A478A"/>
    <w:rsid w:val="1518152A"/>
    <w:rsid w:val="18B47B61"/>
    <w:rsid w:val="19AE222D"/>
    <w:rsid w:val="19DF440E"/>
    <w:rsid w:val="1B5F138E"/>
    <w:rsid w:val="1E4C628E"/>
    <w:rsid w:val="1F513231"/>
    <w:rsid w:val="1FA03EF2"/>
    <w:rsid w:val="20700482"/>
    <w:rsid w:val="209C70ED"/>
    <w:rsid w:val="20D45FA9"/>
    <w:rsid w:val="21523992"/>
    <w:rsid w:val="2173291C"/>
    <w:rsid w:val="22DF6543"/>
    <w:rsid w:val="234A2DB2"/>
    <w:rsid w:val="243F4EA1"/>
    <w:rsid w:val="24B0470C"/>
    <w:rsid w:val="26467D5D"/>
    <w:rsid w:val="26A522E5"/>
    <w:rsid w:val="26AB2EEF"/>
    <w:rsid w:val="26E76EFF"/>
    <w:rsid w:val="28177609"/>
    <w:rsid w:val="289D2943"/>
    <w:rsid w:val="28DF667B"/>
    <w:rsid w:val="295938E3"/>
    <w:rsid w:val="29A90543"/>
    <w:rsid w:val="29D87A35"/>
    <w:rsid w:val="29F03C89"/>
    <w:rsid w:val="2BA5188B"/>
    <w:rsid w:val="2C7E74AC"/>
    <w:rsid w:val="2E514506"/>
    <w:rsid w:val="2E611FB6"/>
    <w:rsid w:val="2E674331"/>
    <w:rsid w:val="2E7471D0"/>
    <w:rsid w:val="2EE90188"/>
    <w:rsid w:val="2F462A0C"/>
    <w:rsid w:val="2F712264"/>
    <w:rsid w:val="2F8F5830"/>
    <w:rsid w:val="30704386"/>
    <w:rsid w:val="30B03B21"/>
    <w:rsid w:val="31D574D0"/>
    <w:rsid w:val="31E13090"/>
    <w:rsid w:val="32C171AA"/>
    <w:rsid w:val="35414F6E"/>
    <w:rsid w:val="35FD0F8B"/>
    <w:rsid w:val="36153AC8"/>
    <w:rsid w:val="36E91DC4"/>
    <w:rsid w:val="3A4D68B5"/>
    <w:rsid w:val="3A782F7C"/>
    <w:rsid w:val="3A8821F4"/>
    <w:rsid w:val="3A8D7822"/>
    <w:rsid w:val="3AE54320"/>
    <w:rsid w:val="3E280296"/>
    <w:rsid w:val="3E9832FD"/>
    <w:rsid w:val="3EE6654F"/>
    <w:rsid w:val="3F1D6EF7"/>
    <w:rsid w:val="3F380C61"/>
    <w:rsid w:val="40C73FD6"/>
    <w:rsid w:val="417501F3"/>
    <w:rsid w:val="42856917"/>
    <w:rsid w:val="429057C0"/>
    <w:rsid w:val="431B5DEF"/>
    <w:rsid w:val="440476D6"/>
    <w:rsid w:val="45300692"/>
    <w:rsid w:val="461D4A97"/>
    <w:rsid w:val="4642363C"/>
    <w:rsid w:val="46681314"/>
    <w:rsid w:val="470518CB"/>
    <w:rsid w:val="48F30D3D"/>
    <w:rsid w:val="49471290"/>
    <w:rsid w:val="4B821692"/>
    <w:rsid w:val="4B9E2EE3"/>
    <w:rsid w:val="4BE0608A"/>
    <w:rsid w:val="4E377AA9"/>
    <w:rsid w:val="4E3D4066"/>
    <w:rsid w:val="4ED107DE"/>
    <w:rsid w:val="4F483CBA"/>
    <w:rsid w:val="4FDA3AB0"/>
    <w:rsid w:val="505E3468"/>
    <w:rsid w:val="50B5468B"/>
    <w:rsid w:val="51453A91"/>
    <w:rsid w:val="51CF3978"/>
    <w:rsid w:val="51D356B8"/>
    <w:rsid w:val="52465311"/>
    <w:rsid w:val="52CF109F"/>
    <w:rsid w:val="53287BFD"/>
    <w:rsid w:val="53E030A9"/>
    <w:rsid w:val="56291CEA"/>
    <w:rsid w:val="58614E3B"/>
    <w:rsid w:val="588E3981"/>
    <w:rsid w:val="59194FF3"/>
    <w:rsid w:val="594C2058"/>
    <w:rsid w:val="59D5303F"/>
    <w:rsid w:val="5A4D36B3"/>
    <w:rsid w:val="5A990128"/>
    <w:rsid w:val="5B224A68"/>
    <w:rsid w:val="5B261AA8"/>
    <w:rsid w:val="5BC449ED"/>
    <w:rsid w:val="5C7E560B"/>
    <w:rsid w:val="5DB73614"/>
    <w:rsid w:val="5F777E2D"/>
    <w:rsid w:val="61F74F7D"/>
    <w:rsid w:val="6212532B"/>
    <w:rsid w:val="62E83F51"/>
    <w:rsid w:val="63F5795B"/>
    <w:rsid w:val="648D429C"/>
    <w:rsid w:val="69C45E93"/>
    <w:rsid w:val="6A0D62A7"/>
    <w:rsid w:val="6A902988"/>
    <w:rsid w:val="6CAC2460"/>
    <w:rsid w:val="6E114EEB"/>
    <w:rsid w:val="6E147427"/>
    <w:rsid w:val="704509C1"/>
    <w:rsid w:val="704B327F"/>
    <w:rsid w:val="716B0135"/>
    <w:rsid w:val="723C5B16"/>
    <w:rsid w:val="725A39AC"/>
    <w:rsid w:val="73E94E79"/>
    <w:rsid w:val="750C7615"/>
    <w:rsid w:val="75463962"/>
    <w:rsid w:val="756B0CB3"/>
    <w:rsid w:val="76846FE7"/>
    <w:rsid w:val="77110C43"/>
    <w:rsid w:val="784150D0"/>
    <w:rsid w:val="789336DE"/>
    <w:rsid w:val="79924C25"/>
    <w:rsid w:val="7A633959"/>
    <w:rsid w:val="7B9375BC"/>
    <w:rsid w:val="7BB7279F"/>
    <w:rsid w:val="7C2D2215"/>
    <w:rsid w:val="7C38707B"/>
    <w:rsid w:val="7C3F355D"/>
    <w:rsid w:val="7DAE615B"/>
    <w:rsid w:val="7E775D49"/>
    <w:rsid w:val="7F064067"/>
    <w:rsid w:val="7F43588D"/>
    <w:rsid w:val="7FAE73D0"/>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34" w:semiHidden="0" w:name="List Paragraph"/>
    <w:lsdException w:qFormat="1" w:unhideWhenUsed="0" w:uiPriority="0" w:semiHidden="0" w:name="Quote"/>
    <w:lsdException w:qFormat="1" w:unhideWhenUsed="0" w:uiPriority="30" w:semiHidden="0" w:name="Intense Quote"/>
  </w:latentStyles>
  <w:style w:type="paragraph" w:default="1" w:styleId="1">
    <w:name w:val="Normal"/>
    <w:link w:val="338"/>
    <w:autoRedefine/>
    <w:qFormat/>
    <w:uiPriority w:val="0"/>
    <w:pPr>
      <w:suppressAutoHyphens/>
    </w:pPr>
    <w:rPr>
      <w:rFonts w:ascii="Times New Roman" w:hAnsi="Times New Roman" w:eastAsia="Times New Roman" w:cs="Times New Roman"/>
      <w:sz w:val="24"/>
      <w:szCs w:val="24"/>
      <w:lang w:val="pt-BR" w:eastAsia="pt-BR" w:bidi="ar-SA"/>
    </w:rPr>
  </w:style>
  <w:style w:type="paragraph" w:styleId="2">
    <w:name w:val="heading 1"/>
    <w:basedOn w:val="1"/>
    <w:next w:val="1"/>
    <w:autoRedefine/>
    <w:qFormat/>
    <w:uiPriority w:val="9"/>
    <w:pPr>
      <w:keepNext/>
      <w:keepLines/>
      <w:spacing w:before="480" w:line="259" w:lineRule="auto"/>
      <w:outlineLvl w:val="0"/>
    </w:pPr>
    <w:rPr>
      <w:rFonts w:asciiTheme="majorHAnsi" w:hAnsiTheme="majorHAnsi" w:eastAsiaTheme="majorEastAsia" w:cstheme="majorBidi"/>
      <w:b/>
      <w:bCs/>
      <w:color w:val="376092" w:themeColor="accent1" w:themeShade="BF"/>
      <w:sz w:val="28"/>
      <w:szCs w:val="28"/>
      <w:lang w:eastAsia="en-US"/>
    </w:rPr>
  </w:style>
  <w:style w:type="character" w:default="1" w:styleId="3">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character" w:styleId="5">
    <w:name w:val="endnote reference"/>
    <w:basedOn w:val="3"/>
    <w:autoRedefine/>
    <w:semiHidden/>
    <w:unhideWhenUsed/>
    <w:qFormat/>
    <w:uiPriority w:val="99"/>
    <w:rPr>
      <w:vertAlign w:val="superscript"/>
    </w:rPr>
  </w:style>
  <w:style w:type="character" w:styleId="6">
    <w:name w:val="Strong"/>
    <w:basedOn w:val="3"/>
    <w:autoRedefine/>
    <w:qFormat/>
    <w:uiPriority w:val="22"/>
    <w:rPr>
      <w:rFonts w:cs="Times New Roman"/>
      <w:b/>
      <w:bCs/>
    </w:rPr>
  </w:style>
  <w:style w:type="character" w:styleId="7">
    <w:name w:val="annotation reference"/>
    <w:basedOn w:val="3"/>
    <w:autoRedefine/>
    <w:semiHidden/>
    <w:unhideWhenUsed/>
    <w:qFormat/>
    <w:uiPriority w:val="0"/>
    <w:rPr>
      <w:sz w:val="16"/>
      <w:szCs w:val="16"/>
    </w:rPr>
  </w:style>
  <w:style w:type="character" w:styleId="8">
    <w:name w:val="FollowedHyperlink"/>
    <w:basedOn w:val="3"/>
    <w:autoRedefine/>
    <w:unhideWhenUsed/>
    <w:qFormat/>
    <w:uiPriority w:val="0"/>
    <w:rPr>
      <w:color w:val="800080"/>
      <w:u w:val="single"/>
    </w:rPr>
  </w:style>
  <w:style w:type="character" w:styleId="9">
    <w:name w:val="Emphasis"/>
    <w:basedOn w:val="3"/>
    <w:autoRedefine/>
    <w:qFormat/>
    <w:uiPriority w:val="20"/>
    <w:rPr>
      <w:i/>
      <w:iCs/>
    </w:rPr>
  </w:style>
  <w:style w:type="character" w:styleId="10">
    <w:name w:val="footnote reference"/>
    <w:basedOn w:val="3"/>
    <w:autoRedefine/>
    <w:semiHidden/>
    <w:unhideWhenUsed/>
    <w:qFormat/>
    <w:uiPriority w:val="99"/>
    <w:rPr>
      <w:vertAlign w:val="superscript"/>
    </w:rPr>
  </w:style>
  <w:style w:type="character" w:styleId="11">
    <w:name w:val="Hyperlink"/>
    <w:basedOn w:val="3"/>
    <w:autoRedefine/>
    <w:qFormat/>
    <w:uiPriority w:val="0"/>
    <w:rPr>
      <w:rFonts w:cs="Times New Roman"/>
      <w:color w:val="000080"/>
      <w:u w:val="single"/>
    </w:rPr>
  </w:style>
  <w:style w:type="paragraph" w:styleId="12">
    <w:name w:val="toc 2"/>
    <w:basedOn w:val="1"/>
    <w:next w:val="1"/>
    <w:autoRedefine/>
    <w:unhideWhenUsed/>
    <w:qFormat/>
    <w:uiPriority w:val="39"/>
    <w:pPr>
      <w:spacing w:after="57"/>
      <w:ind w:left="283"/>
    </w:pPr>
  </w:style>
  <w:style w:type="paragraph" w:styleId="13">
    <w:name w:val="toc 9"/>
    <w:basedOn w:val="1"/>
    <w:next w:val="1"/>
    <w:autoRedefine/>
    <w:unhideWhenUsed/>
    <w:qFormat/>
    <w:uiPriority w:val="39"/>
    <w:pPr>
      <w:spacing w:after="57"/>
      <w:ind w:left="2268"/>
    </w:pPr>
  </w:style>
  <w:style w:type="paragraph" w:styleId="14">
    <w:name w:val="Body Text"/>
    <w:basedOn w:val="1"/>
    <w:link w:val="198"/>
    <w:autoRedefine/>
    <w:qFormat/>
    <w:uiPriority w:val="0"/>
    <w:pPr>
      <w:jc w:val="both"/>
    </w:pPr>
    <w:rPr>
      <w:b/>
      <w:bCs/>
    </w:rPr>
  </w:style>
  <w:style w:type="paragraph" w:styleId="15">
    <w:name w:val="toc 6"/>
    <w:basedOn w:val="1"/>
    <w:next w:val="1"/>
    <w:autoRedefine/>
    <w:unhideWhenUsed/>
    <w:qFormat/>
    <w:uiPriority w:val="39"/>
    <w:pPr>
      <w:spacing w:after="57"/>
      <w:ind w:left="1417"/>
    </w:pPr>
  </w:style>
  <w:style w:type="paragraph" w:styleId="16">
    <w:name w:val="annotation text"/>
    <w:basedOn w:val="1"/>
    <w:link w:val="308"/>
    <w:autoRedefine/>
    <w:semiHidden/>
    <w:unhideWhenUsed/>
    <w:qFormat/>
    <w:uiPriority w:val="0"/>
    <w:rPr>
      <w:rFonts w:ascii="ecofont_spranq_eco_sans" w:hAnsi="ecofont_spranq_eco_sans" w:cs="Tahoma" w:eastAsiaTheme="minorEastAsia"/>
      <w:sz w:val="20"/>
      <w:szCs w:val="20"/>
    </w:rPr>
  </w:style>
  <w:style w:type="paragraph" w:styleId="17">
    <w:name w:val="toc 5"/>
    <w:basedOn w:val="1"/>
    <w:next w:val="1"/>
    <w:autoRedefine/>
    <w:unhideWhenUsed/>
    <w:qFormat/>
    <w:uiPriority w:val="39"/>
    <w:pPr>
      <w:spacing w:after="57"/>
      <w:ind w:left="1134"/>
    </w:pPr>
  </w:style>
  <w:style w:type="paragraph" w:styleId="18">
    <w:name w:val="table of figures"/>
    <w:basedOn w:val="1"/>
    <w:next w:val="1"/>
    <w:autoRedefine/>
    <w:unhideWhenUsed/>
    <w:qFormat/>
    <w:uiPriority w:val="99"/>
  </w:style>
  <w:style w:type="paragraph" w:styleId="19">
    <w:name w:val="Title"/>
    <w:basedOn w:val="1"/>
    <w:link w:val="205"/>
    <w:autoRedefine/>
    <w:qFormat/>
    <w:uiPriority w:val="99"/>
    <w:pPr>
      <w:jc w:val="center"/>
    </w:pPr>
    <w:rPr>
      <w:b/>
      <w:bCs/>
      <w:sz w:val="40"/>
    </w:rPr>
  </w:style>
  <w:style w:type="paragraph" w:styleId="20">
    <w:name w:val="endnote text"/>
    <w:basedOn w:val="1"/>
    <w:link w:val="224"/>
    <w:autoRedefine/>
    <w:semiHidden/>
    <w:unhideWhenUsed/>
    <w:qFormat/>
    <w:uiPriority w:val="99"/>
    <w:rPr>
      <w:sz w:val="20"/>
      <w:szCs w:val="20"/>
    </w:rPr>
  </w:style>
  <w:style w:type="paragraph" w:styleId="21">
    <w:name w:val="Normal (Web)"/>
    <w:basedOn w:val="1"/>
    <w:autoRedefine/>
    <w:qFormat/>
    <w:uiPriority w:val="99"/>
    <w:pPr>
      <w:spacing w:before="100" w:beforeAutospacing="1" w:after="100" w:afterAutospacing="1"/>
    </w:pPr>
  </w:style>
  <w:style w:type="paragraph" w:styleId="22">
    <w:name w:val="toc 4"/>
    <w:basedOn w:val="1"/>
    <w:next w:val="1"/>
    <w:autoRedefine/>
    <w:unhideWhenUsed/>
    <w:qFormat/>
    <w:uiPriority w:val="39"/>
    <w:pPr>
      <w:spacing w:after="57"/>
      <w:ind w:left="850"/>
    </w:pPr>
  </w:style>
  <w:style w:type="paragraph" w:styleId="23">
    <w:name w:val="toc 8"/>
    <w:basedOn w:val="1"/>
    <w:next w:val="1"/>
    <w:autoRedefine/>
    <w:unhideWhenUsed/>
    <w:qFormat/>
    <w:uiPriority w:val="39"/>
    <w:pPr>
      <w:spacing w:after="57"/>
      <w:ind w:left="1984"/>
    </w:pPr>
  </w:style>
  <w:style w:type="paragraph" w:styleId="24">
    <w:name w:val="Body Text 3"/>
    <w:basedOn w:val="1"/>
    <w:link w:val="204"/>
    <w:autoRedefine/>
    <w:qFormat/>
    <w:uiPriority w:val="99"/>
    <w:pPr>
      <w:spacing w:after="120"/>
    </w:pPr>
    <w:rPr>
      <w:sz w:val="16"/>
      <w:szCs w:val="16"/>
    </w:rPr>
  </w:style>
  <w:style w:type="paragraph" w:styleId="25">
    <w:name w:val="HTML Preformatted"/>
    <w:basedOn w:val="1"/>
    <w:link w:val="279"/>
    <w:autoRedefine/>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rPr>
  </w:style>
  <w:style w:type="paragraph" w:styleId="26">
    <w:name w:val="Body Text 2"/>
    <w:basedOn w:val="1"/>
    <w:link w:val="208"/>
    <w:autoRedefine/>
    <w:qFormat/>
    <w:uiPriority w:val="99"/>
    <w:pPr>
      <w:spacing w:after="120" w:line="480" w:lineRule="auto"/>
    </w:pPr>
  </w:style>
  <w:style w:type="paragraph" w:styleId="27">
    <w:name w:val="header"/>
    <w:basedOn w:val="1"/>
    <w:link w:val="296"/>
    <w:autoRedefine/>
    <w:unhideWhenUsed/>
    <w:qFormat/>
    <w:uiPriority w:val="99"/>
    <w:pPr>
      <w:tabs>
        <w:tab w:val="center" w:pos="4252"/>
        <w:tab w:val="right" w:pos="8504"/>
      </w:tabs>
    </w:pPr>
  </w:style>
  <w:style w:type="paragraph" w:styleId="28">
    <w:name w:val="annotation subject"/>
    <w:basedOn w:val="16"/>
    <w:next w:val="16"/>
    <w:link w:val="314"/>
    <w:autoRedefine/>
    <w:semiHidden/>
    <w:unhideWhenUsed/>
    <w:qFormat/>
    <w:uiPriority w:val="99"/>
    <w:rPr>
      <w:rFonts w:ascii="Times New Roman" w:hAnsi="Times New Roman" w:eastAsia="Times New Roman" w:cs="Times New Roman"/>
      <w:b/>
      <w:bCs/>
    </w:rPr>
  </w:style>
  <w:style w:type="paragraph" w:styleId="29">
    <w:name w:val="footer"/>
    <w:basedOn w:val="1"/>
    <w:link w:val="297"/>
    <w:autoRedefine/>
    <w:unhideWhenUsed/>
    <w:qFormat/>
    <w:uiPriority w:val="99"/>
    <w:pPr>
      <w:tabs>
        <w:tab w:val="center" w:pos="4252"/>
        <w:tab w:val="right" w:pos="8504"/>
      </w:tabs>
    </w:pPr>
  </w:style>
  <w:style w:type="paragraph" w:styleId="30">
    <w:name w:val="toc 7"/>
    <w:basedOn w:val="1"/>
    <w:next w:val="1"/>
    <w:autoRedefine/>
    <w:unhideWhenUsed/>
    <w:qFormat/>
    <w:uiPriority w:val="39"/>
    <w:pPr>
      <w:spacing w:after="57"/>
      <w:ind w:left="1701"/>
    </w:pPr>
  </w:style>
  <w:style w:type="paragraph" w:styleId="31">
    <w:name w:val="Body Text Indent 3"/>
    <w:basedOn w:val="1"/>
    <w:link w:val="294"/>
    <w:autoRedefine/>
    <w:qFormat/>
    <w:uiPriority w:val="0"/>
    <w:pPr>
      <w:spacing w:after="120"/>
      <w:ind w:left="283"/>
    </w:pPr>
    <w:rPr>
      <w:sz w:val="16"/>
      <w:szCs w:val="16"/>
    </w:rPr>
  </w:style>
  <w:style w:type="paragraph" w:styleId="32">
    <w:name w:val="toc 3"/>
    <w:basedOn w:val="1"/>
    <w:next w:val="1"/>
    <w:autoRedefine/>
    <w:unhideWhenUsed/>
    <w:qFormat/>
    <w:uiPriority w:val="39"/>
    <w:pPr>
      <w:spacing w:after="57"/>
      <w:ind w:left="567"/>
    </w:pPr>
  </w:style>
  <w:style w:type="paragraph" w:styleId="33">
    <w:name w:val="Balloon Text"/>
    <w:basedOn w:val="1"/>
    <w:link w:val="203"/>
    <w:autoRedefine/>
    <w:qFormat/>
    <w:uiPriority w:val="0"/>
    <w:rPr>
      <w:rFonts w:ascii="Tahoma" w:hAnsi="Tahoma" w:cs="Tahoma"/>
      <w:sz w:val="16"/>
      <w:szCs w:val="16"/>
    </w:rPr>
  </w:style>
  <w:style w:type="paragraph" w:styleId="34">
    <w:name w:val="Subtitle"/>
    <w:basedOn w:val="1"/>
    <w:next w:val="1"/>
    <w:link w:val="51"/>
    <w:autoRedefine/>
    <w:qFormat/>
    <w:uiPriority w:val="11"/>
    <w:pPr>
      <w:spacing w:before="200" w:after="200"/>
    </w:pPr>
  </w:style>
  <w:style w:type="paragraph" w:styleId="35">
    <w:name w:val="footnote text"/>
    <w:basedOn w:val="1"/>
    <w:link w:val="221"/>
    <w:autoRedefine/>
    <w:semiHidden/>
    <w:unhideWhenUsed/>
    <w:qFormat/>
    <w:uiPriority w:val="99"/>
    <w:rPr>
      <w:sz w:val="20"/>
      <w:szCs w:val="20"/>
    </w:rPr>
  </w:style>
  <w:style w:type="paragraph" w:styleId="36">
    <w:name w:val="toc 1"/>
    <w:basedOn w:val="1"/>
    <w:next w:val="1"/>
    <w:autoRedefine/>
    <w:unhideWhenUsed/>
    <w:qFormat/>
    <w:uiPriority w:val="39"/>
    <w:pPr>
      <w:spacing w:after="57"/>
    </w:pPr>
  </w:style>
  <w:style w:type="paragraph" w:styleId="37">
    <w:name w:val="Body Text Indent"/>
    <w:basedOn w:val="1"/>
    <w:link w:val="293"/>
    <w:autoRedefine/>
    <w:qFormat/>
    <w:uiPriority w:val="0"/>
    <w:pPr>
      <w:ind w:firstLine="708"/>
    </w:pPr>
    <w:rPr>
      <w:color w:val="000000"/>
      <w:sz w:val="28"/>
    </w:rPr>
  </w:style>
  <w:style w:type="table" w:styleId="38">
    <w:name w:val="Table Grid"/>
    <w:basedOn w:val="4"/>
    <w:autoRedefine/>
    <w:qFormat/>
    <w:uiPriority w:val="39"/>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9">
    <w:name w:val="Heading 1 Char"/>
    <w:basedOn w:val="3"/>
    <w:autoRedefine/>
    <w:qFormat/>
    <w:uiPriority w:val="9"/>
    <w:rPr>
      <w:rFonts w:ascii="Arial" w:hAnsi="Arial" w:eastAsia="Arial" w:cs="Arial"/>
      <w:sz w:val="40"/>
      <w:szCs w:val="40"/>
    </w:rPr>
  </w:style>
  <w:style w:type="character" w:customStyle="1" w:styleId="40">
    <w:name w:val="Heading 2 Char"/>
    <w:basedOn w:val="3"/>
    <w:autoRedefine/>
    <w:qFormat/>
    <w:uiPriority w:val="9"/>
    <w:rPr>
      <w:rFonts w:ascii="Arial" w:hAnsi="Arial" w:eastAsia="Arial" w:cs="Arial"/>
      <w:sz w:val="34"/>
    </w:rPr>
  </w:style>
  <w:style w:type="character" w:customStyle="1" w:styleId="41">
    <w:name w:val="Heading 3 Char"/>
    <w:basedOn w:val="3"/>
    <w:autoRedefine/>
    <w:qFormat/>
    <w:uiPriority w:val="9"/>
    <w:rPr>
      <w:rFonts w:ascii="Arial" w:hAnsi="Arial" w:eastAsia="Arial" w:cs="Arial"/>
      <w:sz w:val="30"/>
      <w:szCs w:val="30"/>
    </w:rPr>
  </w:style>
  <w:style w:type="character" w:customStyle="1" w:styleId="42">
    <w:name w:val="Heading 4 Char"/>
    <w:basedOn w:val="3"/>
    <w:autoRedefine/>
    <w:qFormat/>
    <w:uiPriority w:val="9"/>
    <w:rPr>
      <w:rFonts w:ascii="Arial" w:hAnsi="Arial" w:eastAsia="Arial" w:cs="Arial"/>
      <w:b/>
      <w:bCs/>
      <w:sz w:val="26"/>
      <w:szCs w:val="26"/>
    </w:rPr>
  </w:style>
  <w:style w:type="character" w:customStyle="1" w:styleId="43">
    <w:name w:val="Heading 5 Char"/>
    <w:basedOn w:val="3"/>
    <w:autoRedefine/>
    <w:qFormat/>
    <w:uiPriority w:val="9"/>
    <w:rPr>
      <w:rFonts w:ascii="Arial" w:hAnsi="Arial" w:eastAsia="Arial" w:cs="Arial"/>
      <w:b/>
      <w:bCs/>
      <w:sz w:val="24"/>
      <w:szCs w:val="24"/>
    </w:rPr>
  </w:style>
  <w:style w:type="character" w:customStyle="1" w:styleId="44">
    <w:name w:val="Heading 6 Char"/>
    <w:basedOn w:val="3"/>
    <w:autoRedefine/>
    <w:qFormat/>
    <w:uiPriority w:val="9"/>
    <w:rPr>
      <w:rFonts w:ascii="Arial" w:hAnsi="Arial" w:eastAsia="Arial" w:cs="Arial"/>
      <w:b/>
      <w:bCs/>
      <w:sz w:val="22"/>
      <w:szCs w:val="22"/>
    </w:rPr>
  </w:style>
  <w:style w:type="character" w:customStyle="1" w:styleId="45">
    <w:name w:val="Heading 7 Char"/>
    <w:basedOn w:val="3"/>
    <w:autoRedefine/>
    <w:qFormat/>
    <w:uiPriority w:val="9"/>
    <w:rPr>
      <w:rFonts w:ascii="Arial" w:hAnsi="Arial" w:eastAsia="Arial" w:cs="Arial"/>
      <w:b/>
      <w:bCs/>
      <w:i/>
      <w:iCs/>
      <w:sz w:val="22"/>
      <w:szCs w:val="22"/>
    </w:rPr>
  </w:style>
  <w:style w:type="paragraph" w:customStyle="1" w:styleId="46">
    <w:name w:val="Título 81"/>
    <w:basedOn w:val="1"/>
    <w:next w:val="1"/>
    <w:link w:val="47"/>
    <w:autoRedefine/>
    <w:unhideWhenUsed/>
    <w:qFormat/>
    <w:uiPriority w:val="9"/>
    <w:pPr>
      <w:keepNext/>
      <w:keepLines/>
      <w:spacing w:before="320" w:after="200"/>
      <w:outlineLvl w:val="7"/>
    </w:pPr>
    <w:rPr>
      <w:rFonts w:ascii="Arial" w:hAnsi="Arial" w:eastAsia="Arial" w:cs="Arial"/>
      <w:i/>
      <w:iCs/>
      <w:sz w:val="22"/>
      <w:szCs w:val="22"/>
    </w:rPr>
  </w:style>
  <w:style w:type="character" w:customStyle="1" w:styleId="47">
    <w:name w:val="Heading 8 Char"/>
    <w:basedOn w:val="3"/>
    <w:link w:val="46"/>
    <w:autoRedefine/>
    <w:qFormat/>
    <w:uiPriority w:val="9"/>
    <w:rPr>
      <w:rFonts w:ascii="Arial" w:hAnsi="Arial" w:eastAsia="Arial" w:cs="Arial"/>
      <w:i/>
      <w:iCs/>
      <w:sz w:val="22"/>
      <w:szCs w:val="22"/>
    </w:rPr>
  </w:style>
  <w:style w:type="paragraph" w:customStyle="1" w:styleId="48">
    <w:name w:val="Título 91"/>
    <w:basedOn w:val="1"/>
    <w:next w:val="1"/>
    <w:link w:val="49"/>
    <w:autoRedefine/>
    <w:unhideWhenUsed/>
    <w:qFormat/>
    <w:uiPriority w:val="9"/>
    <w:pPr>
      <w:keepNext/>
      <w:keepLines/>
      <w:spacing w:before="320" w:after="200"/>
      <w:outlineLvl w:val="8"/>
    </w:pPr>
    <w:rPr>
      <w:rFonts w:ascii="Arial" w:hAnsi="Arial" w:eastAsia="Arial" w:cs="Arial"/>
      <w:i/>
      <w:iCs/>
      <w:sz w:val="21"/>
      <w:szCs w:val="21"/>
    </w:rPr>
  </w:style>
  <w:style w:type="character" w:customStyle="1" w:styleId="49">
    <w:name w:val="Heading 9 Char"/>
    <w:basedOn w:val="3"/>
    <w:link w:val="48"/>
    <w:autoRedefine/>
    <w:qFormat/>
    <w:uiPriority w:val="9"/>
    <w:rPr>
      <w:rFonts w:ascii="Arial" w:hAnsi="Arial" w:eastAsia="Arial" w:cs="Arial"/>
      <w:i/>
      <w:iCs/>
      <w:sz w:val="21"/>
      <w:szCs w:val="21"/>
    </w:rPr>
  </w:style>
  <w:style w:type="character" w:customStyle="1" w:styleId="50">
    <w:name w:val="Title Char"/>
    <w:basedOn w:val="3"/>
    <w:autoRedefine/>
    <w:qFormat/>
    <w:uiPriority w:val="10"/>
    <w:rPr>
      <w:sz w:val="48"/>
      <w:szCs w:val="48"/>
    </w:rPr>
  </w:style>
  <w:style w:type="character" w:customStyle="1" w:styleId="51">
    <w:name w:val="Subtítulo Char"/>
    <w:basedOn w:val="3"/>
    <w:link w:val="34"/>
    <w:autoRedefine/>
    <w:qFormat/>
    <w:uiPriority w:val="11"/>
    <w:rPr>
      <w:sz w:val="24"/>
      <w:szCs w:val="24"/>
    </w:rPr>
  </w:style>
  <w:style w:type="character" w:customStyle="1" w:styleId="52">
    <w:name w:val="Quote Char"/>
    <w:autoRedefine/>
    <w:qFormat/>
    <w:uiPriority w:val="29"/>
    <w:rPr>
      <w:i/>
    </w:rPr>
  </w:style>
  <w:style w:type="paragraph" w:styleId="53">
    <w:name w:val="Intense Quote"/>
    <w:basedOn w:val="1"/>
    <w:next w:val="1"/>
    <w:link w:val="54"/>
    <w:autoRedefine/>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4">
    <w:name w:val="Citação Intensa Char"/>
    <w:link w:val="53"/>
    <w:autoRedefine/>
    <w:qFormat/>
    <w:uiPriority w:val="30"/>
    <w:rPr>
      <w:i/>
    </w:rPr>
  </w:style>
  <w:style w:type="character" w:customStyle="1" w:styleId="55">
    <w:name w:val="Header Char"/>
    <w:basedOn w:val="3"/>
    <w:autoRedefine/>
    <w:qFormat/>
    <w:uiPriority w:val="99"/>
  </w:style>
  <w:style w:type="character" w:customStyle="1" w:styleId="56">
    <w:name w:val="Footer Char"/>
    <w:basedOn w:val="3"/>
    <w:autoRedefine/>
    <w:qFormat/>
    <w:uiPriority w:val="99"/>
  </w:style>
  <w:style w:type="paragraph" w:customStyle="1" w:styleId="57">
    <w:name w:val="Legenda1"/>
    <w:basedOn w:val="1"/>
    <w:next w:val="1"/>
    <w:autoRedefine/>
    <w:semiHidden/>
    <w:unhideWhenUsed/>
    <w:qFormat/>
    <w:uiPriority w:val="35"/>
    <w:pPr>
      <w:spacing w:line="276" w:lineRule="auto"/>
    </w:pPr>
    <w:rPr>
      <w:b/>
      <w:bCs/>
      <w:color w:val="4F81BD" w:themeColor="accent1"/>
      <w:sz w:val="18"/>
      <w:szCs w:val="18"/>
      <w14:textFill>
        <w14:solidFill>
          <w14:schemeClr w14:val="accent1"/>
        </w14:solidFill>
      </w14:textFill>
    </w:rPr>
  </w:style>
  <w:style w:type="character" w:customStyle="1" w:styleId="58">
    <w:name w:val="Caption Char"/>
    <w:autoRedefine/>
    <w:qFormat/>
    <w:uiPriority w:val="99"/>
  </w:style>
  <w:style w:type="table" w:customStyle="1" w:styleId="59">
    <w:name w:val="Table Grid Light"/>
    <w:basedOn w:val="4"/>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60">
    <w:name w:val="Tabela Simples 11"/>
    <w:basedOn w:val="4"/>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auto"/>
      </w:tcPr>
    </w:tblStylePr>
    <w:tblStylePr w:type="band1Horz">
      <w:tcPr>
        <w:shd w:val="clear" w:color="F1F1F1" w:themeColor="text1" w:themeTint="0D" w:fill="auto"/>
      </w:tcPr>
    </w:tblStylePr>
  </w:style>
  <w:style w:type="table" w:customStyle="1" w:styleId="61">
    <w:name w:val="Tabela Simples 21"/>
    <w:basedOn w:val="4"/>
    <w:autoRedefine/>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2">
    <w:name w:val="Tabela Simples 31"/>
    <w:basedOn w:val="4"/>
    <w:autoRedefine/>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3">
    <w:name w:val="Tabela Simples 41"/>
    <w:basedOn w:val="4"/>
    <w:autoRedefine/>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4">
    <w:name w:val="Tabela Simples 51"/>
    <w:basedOn w:val="4"/>
    <w:autoRedefine/>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5">
    <w:name w:val="Tabela de Grade 1 Clara1"/>
    <w:basedOn w:val="4"/>
    <w:autoRedefine/>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6">
    <w:name w:val="Grid Table 1 Light - Accent 1"/>
    <w:basedOn w:val="4"/>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7">
    <w:name w:val="Grid Table 1 Light - Accent 2"/>
    <w:basedOn w:val="4"/>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8">
    <w:name w:val="Grid Table 1 Light - Accent 3"/>
    <w:basedOn w:val="4"/>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69">
    <w:name w:val="Grid Table 1 Light - Accent 4"/>
    <w:basedOn w:val="4"/>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70">
    <w:name w:val="Grid Table 1 Light - Accent 5"/>
    <w:basedOn w:val="4"/>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1">
    <w:name w:val="Grid Table 1 Light - Accent 6"/>
    <w:basedOn w:val="4"/>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2">
    <w:name w:val="Tabela de Grade 21"/>
    <w:basedOn w:val="4"/>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73">
    <w:name w:val="Grid Table 2 - Accent 1"/>
    <w:basedOn w:val="4"/>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74">
    <w:name w:val="Grid Table 2 - Accent 2"/>
    <w:basedOn w:val="4"/>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75">
    <w:name w:val="Grid Table 2 - Accent 3"/>
    <w:basedOn w:val="4"/>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76">
    <w:name w:val="Grid Table 2 - Accent 4"/>
    <w:basedOn w:val="4"/>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77">
    <w:name w:val="Grid Table 2 - Accent 5"/>
    <w:basedOn w:val="4"/>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78">
    <w:name w:val="Grid Table 2 - Accent 6"/>
    <w:basedOn w:val="4"/>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79">
    <w:name w:val="Tabela de Grade 31"/>
    <w:basedOn w:val="4"/>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0">
    <w:name w:val="Grid Table 3 - Accent 1"/>
    <w:basedOn w:val="4"/>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81">
    <w:name w:val="Grid Table 3 - Accent 2"/>
    <w:basedOn w:val="4"/>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2">
    <w:name w:val="Grid Table 3 - Accent 3"/>
    <w:basedOn w:val="4"/>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83">
    <w:name w:val="Grid Table 3 - Accent 4"/>
    <w:basedOn w:val="4"/>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4">
    <w:name w:val="Grid Table 3 - Accent 5"/>
    <w:basedOn w:val="4"/>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5">
    <w:name w:val="Grid Table 3 - Accent 6"/>
    <w:basedOn w:val="4"/>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6">
    <w:name w:val="Tabela de Grade 41"/>
    <w:basedOn w:val="4"/>
    <w:autoRedefine/>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auto"/>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7">
    <w:name w:val="Grid Table 4 - Accent 1"/>
    <w:basedOn w:val="4"/>
    <w:autoRedefine/>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auto"/>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auto"/>
      </w:tcPr>
    </w:tblStylePr>
    <w:tblStylePr w:type="band1Horz">
      <w:rPr>
        <w:rFonts w:ascii="Arial" w:hAnsi="Arial"/>
        <w:color w:val="404040"/>
        <w:sz w:val="22"/>
      </w:rPr>
      <w:tcPr>
        <w:shd w:val="clear" w:color="DCE6F2" w:themeColor="accent1" w:themeTint="32" w:fill="auto"/>
      </w:tcPr>
    </w:tblStylePr>
  </w:style>
  <w:style w:type="table" w:customStyle="1" w:styleId="88">
    <w:name w:val="Grid Table 4 - Accent 2"/>
    <w:basedOn w:val="4"/>
    <w:autoRedefine/>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auto"/>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9">
    <w:name w:val="Grid Table 4 - Accent 3"/>
    <w:basedOn w:val="4"/>
    <w:autoRedefine/>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auto"/>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90">
    <w:name w:val="Grid Table 4 - Accent 4"/>
    <w:basedOn w:val="4"/>
    <w:autoRedefine/>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auto"/>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91">
    <w:name w:val="Grid Table 4 - Accent 5"/>
    <w:basedOn w:val="4"/>
    <w:autoRedefine/>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auto"/>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92">
    <w:name w:val="Grid Table 4 - Accent 6"/>
    <w:basedOn w:val="4"/>
    <w:autoRedefine/>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auto"/>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93">
    <w:name w:val="Tabela de Grade 5 Escura1"/>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auto"/>
      </w:tcPr>
    </w:tblStylePr>
    <w:tblStylePr w:type="lastRow">
      <w:rPr>
        <w:rFonts w:ascii="Arial" w:hAnsi="Arial"/>
        <w:b/>
        <w:color w:val="FFFFFF"/>
        <w:sz w:val="22"/>
      </w:rPr>
      <w:tcPr>
        <w:tcBorders>
          <w:top w:val="single" w:color="FFFFFF" w:themeColor="light1" w:sz="4" w:space="0"/>
        </w:tcBorders>
        <w:shd w:val="clear" w:color="000000" w:themeColor="text1" w:fill="auto"/>
      </w:tcPr>
    </w:tblStylePr>
    <w:tblStylePr w:type="firstCol">
      <w:rPr>
        <w:rFonts w:ascii="Arial" w:hAnsi="Arial"/>
        <w:b/>
        <w:color w:val="FFFFFF"/>
        <w:sz w:val="22"/>
      </w:rPr>
      <w:tcPr>
        <w:shd w:val="clear" w:color="000000" w:themeColor="text1" w:fill="auto"/>
      </w:tcPr>
    </w:tblStylePr>
    <w:tblStylePr w:type="lastCol">
      <w:rPr>
        <w:rFonts w:ascii="Arial" w:hAnsi="Arial"/>
        <w:b/>
        <w:color w:val="FFFFFF"/>
        <w:sz w:val="22"/>
      </w:rPr>
      <w:tcPr>
        <w:shd w:val="clear" w:color="000000" w:themeColor="text1" w:fill="auto"/>
      </w:tcPr>
    </w:tblStylePr>
    <w:tblStylePr w:type="band1Vert">
      <w:tcPr>
        <w:shd w:val="clear" w:color="898989" w:themeColor="text1" w:themeTint="75" w:fill="auto"/>
      </w:tcPr>
    </w:tblStylePr>
    <w:tblStylePr w:type="band1Horz">
      <w:tcPr>
        <w:shd w:val="clear" w:color="898989" w:themeColor="text1" w:themeTint="75" w:fill="auto"/>
      </w:tcPr>
    </w:tblStylePr>
  </w:style>
  <w:style w:type="table" w:customStyle="1" w:styleId="94">
    <w:name w:val="Grid Table 5 Dark- Accent 1"/>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auto"/>
      </w:tcPr>
    </w:tblStylePr>
    <w:tblStylePr w:type="lastRow">
      <w:rPr>
        <w:rFonts w:ascii="Arial" w:hAnsi="Arial"/>
        <w:b/>
        <w:color w:val="FFFFFF"/>
        <w:sz w:val="22"/>
      </w:rPr>
      <w:tcPr>
        <w:tcBorders>
          <w:top w:val="single" w:color="FFFFFF" w:themeColor="light1" w:sz="4" w:space="0"/>
        </w:tcBorders>
        <w:shd w:val="clear" w:color="4F81BD" w:themeColor="accent1" w:fill="auto"/>
      </w:tcPr>
    </w:tblStylePr>
    <w:tblStylePr w:type="firstCol">
      <w:rPr>
        <w:rFonts w:ascii="Arial" w:hAnsi="Arial"/>
        <w:b/>
        <w:color w:val="FFFFFF"/>
        <w:sz w:val="22"/>
      </w:rPr>
      <w:tcPr>
        <w:shd w:val="clear" w:color="4F81BD" w:themeColor="accent1" w:fill="auto"/>
      </w:tcPr>
    </w:tblStylePr>
    <w:tblStylePr w:type="lastCol">
      <w:rPr>
        <w:rFonts w:ascii="Arial" w:hAnsi="Arial"/>
        <w:b/>
        <w:color w:val="FFFFFF"/>
        <w:sz w:val="22"/>
      </w:rPr>
      <w:tcPr>
        <w:shd w:val="clear" w:color="4F81BD" w:themeColor="accent1" w:fill="auto"/>
      </w:tcPr>
    </w:tblStylePr>
    <w:tblStylePr w:type="band1Vert">
      <w:tcPr>
        <w:shd w:val="clear" w:color="AEC5E0" w:themeColor="accent1" w:themeTint="75" w:fill="auto"/>
      </w:tcPr>
    </w:tblStylePr>
    <w:tblStylePr w:type="band1Horz">
      <w:tcPr>
        <w:shd w:val="clear" w:color="AEC5E0" w:themeColor="accent1" w:themeTint="75" w:fill="auto"/>
      </w:tcPr>
    </w:tblStylePr>
  </w:style>
  <w:style w:type="table" w:customStyle="1" w:styleId="95">
    <w:name w:val="Grid Table 5 Dark - Accent 2"/>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auto"/>
      </w:tcPr>
    </w:tblStylePr>
    <w:tblStylePr w:type="lastRow">
      <w:rPr>
        <w:rFonts w:ascii="Arial" w:hAnsi="Arial"/>
        <w:b/>
        <w:color w:val="FFFFFF"/>
        <w:sz w:val="22"/>
      </w:rPr>
      <w:tcPr>
        <w:tcBorders>
          <w:top w:val="single" w:color="FFFFFF" w:themeColor="light1" w:sz="4" w:space="0"/>
        </w:tcBorders>
        <w:shd w:val="clear" w:color="C0504D" w:themeColor="accent2" w:fill="auto"/>
      </w:tcPr>
    </w:tblStylePr>
    <w:tblStylePr w:type="firstCol">
      <w:rPr>
        <w:rFonts w:ascii="Arial" w:hAnsi="Arial"/>
        <w:b/>
        <w:color w:val="FFFFFF"/>
        <w:sz w:val="22"/>
      </w:rPr>
      <w:tcPr>
        <w:shd w:val="clear" w:color="C0504D" w:themeColor="accent2" w:fill="auto"/>
      </w:tcPr>
    </w:tblStylePr>
    <w:tblStylePr w:type="lastCol">
      <w:rPr>
        <w:rFonts w:ascii="Arial" w:hAnsi="Arial"/>
        <w:b/>
        <w:color w:val="FFFFFF"/>
        <w:sz w:val="22"/>
      </w:rPr>
      <w:tcPr>
        <w:shd w:val="clear" w:color="C0504D" w:themeColor="accent2" w:fill="auto"/>
      </w:tcPr>
    </w:tblStylePr>
    <w:tblStylePr w:type="band1Vert">
      <w:tcPr>
        <w:shd w:val="clear" w:color="E2AEAD" w:themeColor="accent2" w:themeTint="75" w:fill="auto"/>
      </w:tcPr>
    </w:tblStylePr>
    <w:tblStylePr w:type="band1Horz">
      <w:tcPr>
        <w:shd w:val="clear" w:color="E2AEAD" w:themeColor="accent2" w:themeTint="75" w:fill="auto"/>
      </w:tcPr>
    </w:tblStylePr>
  </w:style>
  <w:style w:type="table" w:customStyle="1" w:styleId="96">
    <w:name w:val="Grid Table 5 Dark - Accent 3"/>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auto"/>
      </w:tcPr>
    </w:tblStylePr>
    <w:tblStylePr w:type="lastRow">
      <w:rPr>
        <w:rFonts w:ascii="Arial" w:hAnsi="Arial"/>
        <w:b/>
        <w:color w:val="FFFFFF"/>
        <w:sz w:val="22"/>
      </w:rPr>
      <w:tcPr>
        <w:tcBorders>
          <w:top w:val="single" w:color="FFFFFF" w:themeColor="light1" w:sz="4" w:space="0"/>
        </w:tcBorders>
        <w:shd w:val="clear" w:color="9BBB59" w:themeColor="accent3" w:fill="auto"/>
      </w:tcPr>
    </w:tblStylePr>
    <w:tblStylePr w:type="firstCol">
      <w:rPr>
        <w:rFonts w:ascii="Arial" w:hAnsi="Arial"/>
        <w:b/>
        <w:color w:val="FFFFFF"/>
        <w:sz w:val="22"/>
      </w:rPr>
      <w:tcPr>
        <w:shd w:val="clear" w:color="9BBB59" w:themeColor="accent3" w:fill="auto"/>
      </w:tcPr>
    </w:tblStylePr>
    <w:tblStylePr w:type="lastCol">
      <w:rPr>
        <w:rFonts w:ascii="Arial" w:hAnsi="Arial"/>
        <w:b/>
        <w:color w:val="FFFFFF"/>
        <w:sz w:val="22"/>
      </w:rPr>
      <w:tcPr>
        <w:shd w:val="clear" w:color="9BBB59" w:themeColor="accent3" w:fill="auto"/>
      </w:tcPr>
    </w:tblStylePr>
    <w:tblStylePr w:type="band1Vert">
      <w:tcPr>
        <w:shd w:val="clear" w:color="D1DFB2" w:themeColor="accent3" w:themeTint="75" w:fill="auto"/>
      </w:tcPr>
    </w:tblStylePr>
    <w:tblStylePr w:type="band1Horz">
      <w:tcPr>
        <w:shd w:val="clear" w:color="D1DFB2" w:themeColor="accent3" w:themeTint="75" w:fill="auto"/>
      </w:tcPr>
    </w:tblStylePr>
  </w:style>
  <w:style w:type="table" w:customStyle="1" w:styleId="97">
    <w:name w:val="Grid Table 5 Dark- Accent 4"/>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auto"/>
      </w:tcPr>
    </w:tblStylePr>
    <w:tblStylePr w:type="lastRow">
      <w:rPr>
        <w:rFonts w:ascii="Arial" w:hAnsi="Arial"/>
        <w:b/>
        <w:color w:val="FFFFFF"/>
        <w:sz w:val="22"/>
      </w:rPr>
      <w:tcPr>
        <w:tcBorders>
          <w:top w:val="single" w:color="FFFFFF" w:themeColor="light1" w:sz="4" w:space="0"/>
        </w:tcBorders>
        <w:shd w:val="clear" w:color="8064A2" w:themeColor="accent4" w:fill="auto"/>
      </w:tcPr>
    </w:tblStylePr>
    <w:tblStylePr w:type="firstCol">
      <w:rPr>
        <w:rFonts w:ascii="Arial" w:hAnsi="Arial"/>
        <w:b/>
        <w:color w:val="FFFFFF"/>
        <w:sz w:val="22"/>
      </w:rPr>
      <w:tcPr>
        <w:shd w:val="clear" w:color="8064A2" w:themeColor="accent4" w:fill="auto"/>
      </w:tcPr>
    </w:tblStylePr>
    <w:tblStylePr w:type="lastCol">
      <w:rPr>
        <w:rFonts w:ascii="Arial" w:hAnsi="Arial"/>
        <w:b/>
        <w:color w:val="FFFFFF"/>
        <w:sz w:val="22"/>
      </w:rPr>
      <w:tcPr>
        <w:shd w:val="clear" w:color="8064A2" w:themeColor="accent4" w:fill="auto"/>
      </w:tcPr>
    </w:tblStylePr>
    <w:tblStylePr w:type="band1Vert">
      <w:tcPr>
        <w:shd w:val="clear" w:color="C4B7D4" w:themeColor="accent4" w:themeTint="75" w:fill="auto"/>
      </w:tcPr>
    </w:tblStylePr>
    <w:tblStylePr w:type="band1Horz">
      <w:tcPr>
        <w:shd w:val="clear" w:color="C4B7D4" w:themeColor="accent4" w:themeTint="75" w:fill="auto"/>
      </w:tcPr>
    </w:tblStylePr>
  </w:style>
  <w:style w:type="table" w:customStyle="1" w:styleId="98">
    <w:name w:val="Grid Table 5 Dark - Accent 5"/>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auto"/>
      </w:tcPr>
    </w:tblStylePr>
    <w:tblStylePr w:type="lastRow">
      <w:rPr>
        <w:rFonts w:ascii="Arial" w:hAnsi="Arial"/>
        <w:b/>
        <w:color w:val="FFFFFF"/>
        <w:sz w:val="22"/>
      </w:rPr>
      <w:tcPr>
        <w:tcBorders>
          <w:top w:val="single" w:color="FFFFFF" w:themeColor="light1" w:sz="4" w:space="0"/>
        </w:tcBorders>
        <w:shd w:val="clear" w:color="4BACC6" w:themeColor="accent5" w:fill="auto"/>
      </w:tcPr>
    </w:tblStylePr>
    <w:tblStylePr w:type="firstCol">
      <w:rPr>
        <w:rFonts w:ascii="Arial" w:hAnsi="Arial"/>
        <w:b/>
        <w:color w:val="FFFFFF"/>
        <w:sz w:val="22"/>
      </w:rPr>
      <w:tcPr>
        <w:shd w:val="clear" w:color="4BACC6" w:themeColor="accent5" w:fill="auto"/>
      </w:tcPr>
    </w:tblStylePr>
    <w:tblStylePr w:type="lastCol">
      <w:rPr>
        <w:rFonts w:ascii="Arial" w:hAnsi="Arial"/>
        <w:b/>
        <w:color w:val="FFFFFF"/>
        <w:sz w:val="22"/>
      </w:rPr>
      <w:tcPr>
        <w:shd w:val="clear" w:color="4BACC6" w:themeColor="accent5" w:fill="auto"/>
      </w:tcPr>
    </w:tblStylePr>
    <w:tblStylePr w:type="band1Vert">
      <w:tcPr>
        <w:shd w:val="clear" w:color="ACD8E4" w:themeColor="accent5" w:themeTint="75" w:fill="auto"/>
      </w:tcPr>
    </w:tblStylePr>
    <w:tblStylePr w:type="band1Horz">
      <w:tcPr>
        <w:shd w:val="clear" w:color="ACD8E4" w:themeColor="accent5" w:themeTint="75" w:fill="auto"/>
      </w:tcPr>
    </w:tblStylePr>
  </w:style>
  <w:style w:type="table" w:customStyle="1" w:styleId="99">
    <w:name w:val="Grid Table 5 Dark - Accent 6"/>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auto"/>
      </w:tcPr>
    </w:tblStylePr>
    <w:tblStylePr w:type="lastRow">
      <w:rPr>
        <w:rFonts w:ascii="Arial" w:hAnsi="Arial"/>
        <w:b/>
        <w:color w:val="FFFFFF"/>
        <w:sz w:val="22"/>
      </w:rPr>
      <w:tcPr>
        <w:tcBorders>
          <w:top w:val="single" w:color="FFFFFF" w:themeColor="light1" w:sz="4" w:space="0"/>
        </w:tcBorders>
        <w:shd w:val="clear" w:color="F79646" w:themeColor="accent6" w:fill="auto"/>
      </w:tcPr>
    </w:tblStylePr>
    <w:tblStylePr w:type="firstCol">
      <w:rPr>
        <w:rFonts w:ascii="Arial" w:hAnsi="Arial"/>
        <w:b/>
        <w:color w:val="FFFFFF"/>
        <w:sz w:val="22"/>
      </w:rPr>
      <w:tcPr>
        <w:shd w:val="clear" w:color="F79646" w:themeColor="accent6" w:fill="auto"/>
      </w:tcPr>
    </w:tblStylePr>
    <w:tblStylePr w:type="lastCol">
      <w:rPr>
        <w:rFonts w:ascii="Arial" w:hAnsi="Arial"/>
        <w:b/>
        <w:color w:val="FFFFFF"/>
        <w:sz w:val="22"/>
      </w:rPr>
      <w:tcPr>
        <w:shd w:val="clear" w:color="F79646" w:themeColor="accent6" w:fill="auto"/>
      </w:tcPr>
    </w:tblStylePr>
    <w:tblStylePr w:type="band1Vert">
      <w:tcPr>
        <w:shd w:val="clear" w:color="FBCEAA" w:themeColor="accent6" w:themeTint="75" w:fill="auto"/>
      </w:tcPr>
    </w:tblStylePr>
    <w:tblStylePr w:type="band1Horz">
      <w:tcPr>
        <w:shd w:val="clear" w:color="FBCEAA" w:themeColor="accent6" w:themeTint="75" w:fill="auto"/>
      </w:tcPr>
    </w:tblStylePr>
  </w:style>
  <w:style w:type="table" w:customStyle="1" w:styleId="100">
    <w:name w:val="Tabela de Grade 6 Colorida1"/>
    <w:basedOn w:val="4"/>
    <w:autoRedefine/>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1">
    <w:name w:val="Grid Table 6 Colorful - Accent 1"/>
    <w:basedOn w:val="4"/>
    <w:autoRedefine/>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2">
    <w:name w:val="Grid Table 6 Colorful - Accent 2"/>
    <w:basedOn w:val="4"/>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3">
    <w:name w:val="Grid Table 6 Colorful - Accent 3"/>
    <w:basedOn w:val="4"/>
    <w:autoRedefine/>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14:textFill>
          <w14:solidFill>
            <w14:schemeClr w14:val="accent3"/>
          </w14:solidFill>
        </w14:textFill>
      </w:rPr>
      <w:tcPr>
        <w:tcBorders>
          <w:bottom w:val="single" w:color="9BBB59" w:themeColor="accent3" w:themeTint="FE" w:sz="12" w:space="0"/>
        </w:tcBorders>
      </w:tcPr>
    </w:tblStylePr>
    <w:tblStylePr w:type="lastRow">
      <w:rPr>
        <w:b/>
        <w:color w:val="9BBB59" w:themeColor="accent3"/>
        <w14:textFill>
          <w14:solidFill>
            <w14:schemeClr w14:val="accent3"/>
          </w14:solidFill>
        </w14:textFill>
      </w:rPr>
    </w:tblStylePr>
    <w:tblStylePr w:type="firstCol">
      <w:rPr>
        <w:b/>
        <w:color w:val="9BBB59" w:themeColor="accent3"/>
        <w14:textFill>
          <w14:solidFill>
            <w14:schemeClr w14:val="accent3"/>
          </w14:solidFill>
        </w14:textFill>
      </w:rPr>
    </w:tblStylePr>
    <w:tblStylePr w:type="lastCol">
      <w:rPr>
        <w:b/>
        <w:color w:val="9BBB59" w:themeColor="accent3"/>
        <w14:textFill>
          <w14:solidFill>
            <w14:schemeClr w14:val="accent3"/>
          </w14:solidFill>
        </w14:textFill>
      </w:r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04">
    <w:name w:val="Grid Table 6 Colorful - Accent 4"/>
    <w:basedOn w:val="4"/>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5">
    <w:name w:val="Grid Table 6 Colorful - Accent 5"/>
    <w:basedOn w:val="4"/>
    <w:autoRedefine/>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06">
    <w:name w:val="Grid Table 6 Colorful - Accent 6"/>
    <w:basedOn w:val="4"/>
    <w:autoRedefine/>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auto"/>
      </w:tcPr>
    </w:tblStylePr>
    <w:tblStylePr w:type="band1Horz">
      <w:rPr>
        <w:rFonts w:ascii="Arial" w:hAnsi="Arial"/>
        <w:color w:val="266778" w:themeColor="accent5" w:themeShade="94"/>
        <w:sz w:val="22"/>
      </w:rPr>
      <w:tcPr>
        <w:shd w:val="clear" w:color="FDE9D9" w:themeColor="accent6" w:themeTint="34" w:fill="auto"/>
      </w:tcPr>
    </w:tblStylePr>
    <w:tblStylePr w:type="band2Horz">
      <w:rPr>
        <w:rFonts w:ascii="Arial" w:hAnsi="Arial"/>
        <w:color w:val="266778" w:themeColor="accent5" w:themeShade="94"/>
        <w:sz w:val="22"/>
      </w:rPr>
    </w:tblStylePr>
  </w:style>
  <w:style w:type="table" w:customStyle="1" w:styleId="107">
    <w:name w:val="Tabela de Grade 7 Colorida1"/>
    <w:basedOn w:val="4"/>
    <w:autoRedefine/>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8">
    <w:name w:val="Grid Table 7 Colorful - Accent 1"/>
    <w:basedOn w:val="4"/>
    <w:autoRedefine/>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auto"/>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auto"/>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9">
    <w:name w:val="Grid Table 7 Colorful - Accent 2"/>
    <w:basedOn w:val="4"/>
    <w:autoRedefine/>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10">
    <w:name w:val="Grid Table 7 Colorful - Accent 3"/>
    <w:basedOn w:val="4"/>
    <w:autoRedefine/>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sz w:val="22"/>
        <w14:textFill>
          <w14:solidFill>
            <w14:schemeClr w14:val="accent3"/>
          </w14:solidFill>
        </w14:textFill>
      </w:rPr>
      <w:tcPr>
        <w:tcBorders>
          <w:top w:val="nil"/>
          <w:left w:val="nil"/>
          <w:bottom w:val="single" w:color="9BBB59" w:themeColor="accent3" w:themeTint="FE" w:sz="4" w:space="0"/>
          <w:right w:val="nil"/>
        </w:tcBorders>
        <w:shd w:val="clear" w:color="FFFFFF" w:themeColor="light1" w:fill="auto"/>
      </w:tcPr>
    </w:tblStylePr>
    <w:tblStylePr w:type="lastRow">
      <w:rPr>
        <w:rFonts w:ascii="Arial" w:hAnsi="Arial"/>
        <w:b/>
        <w:color w:val="9BBB59" w:themeColor="accent3"/>
        <w:sz w:val="22"/>
        <w14:textFill>
          <w14:solidFill>
            <w14:schemeClr w14:val="accent3"/>
          </w14:solidFill>
        </w14:textFill>
      </w:rPr>
      <w:tcPr>
        <w:tcBorders>
          <w:top w:val="single" w:color="9BBB59" w:themeColor="accent3" w:themeTint="FE" w:sz="4" w:space="0"/>
          <w:left w:val="nil"/>
          <w:bottom w:val="nil"/>
          <w:right w:val="nil"/>
        </w:tcBorders>
        <w:shd w:val="clear" w:color="FFFFFF" w:themeColor="light1" w:fill="auto"/>
      </w:tcPr>
    </w:tblStylePr>
    <w:tblStylePr w:type="firstCol">
      <w:pPr>
        <w:jc w:val="right"/>
      </w:pPr>
      <w:rPr>
        <w:rFonts w:ascii="Arial" w:hAnsi="Arial"/>
        <w:i/>
        <w:color w:val="9BBB59" w:themeColor="accent3"/>
        <w:sz w:val="22"/>
        <w14:textFill>
          <w14:solidFill>
            <w14:schemeClr w14:val="accent3"/>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sz w:val="22"/>
        <w14:textFill>
          <w14:solidFill>
            <w14:schemeClr w14:val="accent3"/>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11">
    <w:name w:val="Grid Table 7 Colorful - Accent 4"/>
    <w:basedOn w:val="4"/>
    <w:autoRedefine/>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2">
    <w:name w:val="Grid Table 7 Colorful - Accent 5"/>
    <w:basedOn w:val="4"/>
    <w:autoRedefine/>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auto"/>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auto"/>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13">
    <w:name w:val="Grid Table 7 Colorful - Accent 6"/>
    <w:basedOn w:val="4"/>
    <w:autoRedefine/>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auto"/>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auto"/>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auto"/>
      </w:tcPr>
    </w:tblStylePr>
    <w:tblStylePr w:type="band1Horz">
      <w:rPr>
        <w:rFonts w:ascii="Arial" w:hAnsi="Arial"/>
        <w:color w:val="B05408" w:themeColor="accent6" w:themeShade="94"/>
        <w:sz w:val="22"/>
      </w:rPr>
      <w:tcPr>
        <w:shd w:val="clear" w:color="FDE9D9" w:themeColor="accent6" w:themeTint="34" w:fill="auto"/>
      </w:tcPr>
    </w:tblStylePr>
    <w:tblStylePr w:type="band2Horz">
      <w:rPr>
        <w:rFonts w:ascii="Arial" w:hAnsi="Arial"/>
        <w:color w:val="B05408" w:themeColor="accent6" w:themeShade="94"/>
        <w:sz w:val="22"/>
      </w:rPr>
    </w:tblStylePr>
  </w:style>
  <w:style w:type="table" w:customStyle="1" w:styleId="114">
    <w:name w:val="Tabela de Lista 1 Clara1"/>
    <w:basedOn w:val="4"/>
    <w:autoRedefine/>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auto"/>
      </w:tcPr>
    </w:tblStylePr>
    <w:tblStylePr w:type="band1Horz">
      <w:tcPr>
        <w:shd w:val="clear" w:color="BEBEBE" w:themeColor="text1" w:themeTint="40" w:fill="auto"/>
      </w:tcPr>
    </w:tblStylePr>
  </w:style>
  <w:style w:type="table" w:customStyle="1" w:styleId="115">
    <w:name w:val="List Table 1 Light - Accent 1"/>
    <w:basedOn w:val="4"/>
    <w:autoRedefine/>
    <w:qFormat/>
    <w:uiPriority w:val="99"/>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auto"/>
      </w:tcPr>
    </w:tblStylePr>
    <w:tblStylePr w:type="band1Horz">
      <w:tcPr>
        <w:shd w:val="clear" w:color="D2DFEE" w:themeColor="accent1" w:themeTint="40" w:fill="auto"/>
      </w:tcPr>
    </w:tblStylePr>
  </w:style>
  <w:style w:type="table" w:customStyle="1" w:styleId="116">
    <w:name w:val="List Table 1 Light - Accent 2"/>
    <w:basedOn w:val="4"/>
    <w:autoRedefine/>
    <w:qFormat/>
    <w:uiPriority w:val="99"/>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auto"/>
      </w:tcPr>
    </w:tblStylePr>
    <w:tblStylePr w:type="band1Horz">
      <w:tcPr>
        <w:shd w:val="clear" w:color="EFD3D2" w:themeColor="accent2" w:themeTint="40" w:fill="auto"/>
      </w:tcPr>
    </w:tblStylePr>
  </w:style>
  <w:style w:type="table" w:customStyle="1" w:styleId="117">
    <w:name w:val="List Table 1 Light - Accent 3"/>
    <w:basedOn w:val="4"/>
    <w:autoRedefine/>
    <w:qFormat/>
    <w:uiPriority w:val="99"/>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auto"/>
      </w:tcPr>
    </w:tblStylePr>
    <w:tblStylePr w:type="band1Horz">
      <w:tcPr>
        <w:shd w:val="clear" w:color="E5EDD5" w:themeColor="accent3" w:themeTint="40" w:fill="auto"/>
      </w:tcPr>
    </w:tblStylePr>
  </w:style>
  <w:style w:type="table" w:customStyle="1" w:styleId="118">
    <w:name w:val="List Table 1 Light - Accent 4"/>
    <w:basedOn w:val="4"/>
    <w:autoRedefine/>
    <w:qFormat/>
    <w:uiPriority w:val="99"/>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auto"/>
      </w:tcPr>
    </w:tblStylePr>
    <w:tblStylePr w:type="band1Horz">
      <w:tcPr>
        <w:shd w:val="clear" w:color="DFD8E7" w:themeColor="accent4" w:themeTint="40" w:fill="auto"/>
      </w:tcPr>
    </w:tblStylePr>
  </w:style>
  <w:style w:type="table" w:customStyle="1" w:styleId="119">
    <w:name w:val="List Table 1 Light - Accent 5"/>
    <w:basedOn w:val="4"/>
    <w:autoRedefine/>
    <w:qFormat/>
    <w:uiPriority w:val="99"/>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auto"/>
      </w:tcPr>
    </w:tblStylePr>
    <w:tblStylePr w:type="band1Horz">
      <w:tcPr>
        <w:shd w:val="clear" w:color="D1EAF0" w:themeColor="accent5" w:themeTint="40" w:fill="auto"/>
      </w:tcPr>
    </w:tblStylePr>
  </w:style>
  <w:style w:type="table" w:customStyle="1" w:styleId="120">
    <w:name w:val="List Table 1 Light - Accent 6"/>
    <w:basedOn w:val="4"/>
    <w:autoRedefine/>
    <w:qFormat/>
    <w:uiPriority w:val="99"/>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auto"/>
      </w:tcPr>
    </w:tblStylePr>
    <w:tblStylePr w:type="band1Horz">
      <w:tcPr>
        <w:shd w:val="clear" w:color="FCE4D0" w:themeColor="accent6" w:themeTint="40" w:fill="auto"/>
      </w:tcPr>
    </w:tblStylePr>
  </w:style>
  <w:style w:type="table" w:customStyle="1" w:styleId="121">
    <w:name w:val="Tabela de Lista 21"/>
    <w:basedOn w:val="4"/>
    <w:autoRedefine/>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22">
    <w:name w:val="List Table 2 - Accent 1"/>
    <w:basedOn w:val="4"/>
    <w:autoRedefine/>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23">
    <w:name w:val="List Table 2 - Accent 2"/>
    <w:basedOn w:val="4"/>
    <w:autoRedefine/>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24">
    <w:name w:val="List Table 2 - Accent 3"/>
    <w:basedOn w:val="4"/>
    <w:autoRedefine/>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25">
    <w:name w:val="List Table 2 - Accent 4"/>
    <w:basedOn w:val="4"/>
    <w:autoRedefine/>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26">
    <w:name w:val="List Table 2 - Accent 5"/>
    <w:basedOn w:val="4"/>
    <w:autoRedefine/>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27">
    <w:name w:val="List Table 2 - Accent 6"/>
    <w:basedOn w:val="4"/>
    <w:autoRedefine/>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28">
    <w:name w:val="Tabela de Lista 31"/>
    <w:basedOn w:val="4"/>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9">
    <w:name w:val="List Table 3 - Accent 1"/>
    <w:basedOn w:val="4"/>
    <w:autoRedefine/>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30">
    <w:name w:val="List Table 3 - Accent 2"/>
    <w:basedOn w:val="4"/>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1">
    <w:name w:val="List Table 3 - Accent 3"/>
    <w:basedOn w:val="4"/>
    <w:autoRedefine/>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2">
    <w:name w:val="List Table 3 - Accent 4"/>
    <w:basedOn w:val="4"/>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3">
    <w:name w:val="List Table 3 - Accent 5"/>
    <w:basedOn w:val="4"/>
    <w:autoRedefine/>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4">
    <w:name w:val="List Table 3 - Accent 6"/>
    <w:basedOn w:val="4"/>
    <w:autoRedefine/>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5">
    <w:name w:val="Tabela de Lista 41"/>
    <w:basedOn w:val="4"/>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36">
    <w:name w:val="List Table 4 - Accent 1"/>
    <w:basedOn w:val="4"/>
    <w:autoRedefine/>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37">
    <w:name w:val="List Table 4 - Accent 2"/>
    <w:basedOn w:val="4"/>
    <w:autoRedefine/>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38">
    <w:name w:val="List Table 4 - Accent 3"/>
    <w:basedOn w:val="4"/>
    <w:autoRedefine/>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39">
    <w:name w:val="List Table 4 - Accent 4"/>
    <w:basedOn w:val="4"/>
    <w:autoRedefine/>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40">
    <w:name w:val="List Table 4 - Accent 5"/>
    <w:basedOn w:val="4"/>
    <w:autoRedefine/>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41">
    <w:name w:val="List Table 4 - Accent 6"/>
    <w:basedOn w:val="4"/>
    <w:autoRedefine/>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42">
    <w:name w:val="Tabela de Lista 5 Escura1"/>
    <w:basedOn w:val="4"/>
    <w:autoRedefine/>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auto"/>
      </w:tcPr>
    </w:tblStylePr>
    <w:tblStylePr w:type="band2Horz">
      <w:tcPr>
        <w:tcBorders>
          <w:top w:val="single" w:color="FFFFFF" w:themeColor="light1" w:sz="4" w:space="0"/>
          <w:bottom w:val="single" w:color="FFFFFF" w:themeColor="light1" w:sz="4" w:space="0"/>
        </w:tcBorders>
        <w:shd w:val="clear" w:color="7E7E7E" w:themeColor="text1" w:themeTint="80" w:fill="auto"/>
      </w:tcPr>
    </w:tblStylePr>
  </w:style>
  <w:style w:type="table" w:customStyle="1" w:styleId="143">
    <w:name w:val="List Table 5 Dark - Accent 1"/>
    <w:basedOn w:val="4"/>
    <w:autoRedefine/>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auto"/>
      </w:tcPr>
    </w:tblStylePr>
    <w:tblStylePr w:type="band2Horz">
      <w:tcPr>
        <w:tcBorders>
          <w:top w:val="single" w:color="FFFFFF" w:themeColor="light1" w:sz="4" w:space="0"/>
          <w:bottom w:val="single" w:color="FFFFFF" w:themeColor="light1" w:sz="4" w:space="0"/>
        </w:tcBorders>
        <w:shd w:val="clear" w:color="4F81BD" w:themeColor="accent1" w:fill="auto"/>
      </w:tcPr>
    </w:tblStylePr>
  </w:style>
  <w:style w:type="table" w:customStyle="1" w:styleId="144">
    <w:name w:val="List Table 5 Dark - Accent 2"/>
    <w:basedOn w:val="4"/>
    <w:autoRedefine/>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auto"/>
      </w:tcPr>
    </w:tblStylePr>
    <w:tblStylePr w:type="band2Horz">
      <w:tcPr>
        <w:tcBorders>
          <w:top w:val="single" w:color="FFFFFF" w:themeColor="light1" w:sz="4" w:space="0"/>
          <w:bottom w:val="single" w:color="FFFFFF" w:themeColor="light1" w:sz="4" w:space="0"/>
        </w:tcBorders>
        <w:shd w:val="clear" w:color="D99795" w:themeColor="accent2" w:themeTint="97" w:fill="auto"/>
      </w:tcPr>
    </w:tblStylePr>
  </w:style>
  <w:style w:type="table" w:customStyle="1" w:styleId="145">
    <w:name w:val="List Table 5 Dark - Accent 3"/>
    <w:basedOn w:val="4"/>
    <w:autoRedefine/>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auto"/>
      </w:tcPr>
    </w:tblStylePr>
    <w:tblStylePr w:type="band2Horz">
      <w:tcPr>
        <w:tcBorders>
          <w:top w:val="single" w:color="FFFFFF" w:themeColor="light1" w:sz="4" w:space="0"/>
          <w:bottom w:val="single" w:color="FFFFFF" w:themeColor="light1" w:sz="4" w:space="0"/>
        </w:tcBorders>
        <w:shd w:val="clear" w:color="C3D69C" w:themeColor="accent3" w:themeTint="98" w:fill="auto"/>
      </w:tcPr>
    </w:tblStylePr>
  </w:style>
  <w:style w:type="table" w:customStyle="1" w:styleId="146">
    <w:name w:val="List Table 5 Dark - Accent 4"/>
    <w:basedOn w:val="4"/>
    <w:autoRedefine/>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auto"/>
      </w:tcPr>
    </w:tblStylePr>
    <w:tblStylePr w:type="band2Horz">
      <w:tcPr>
        <w:tcBorders>
          <w:top w:val="single" w:color="FFFFFF" w:themeColor="light1" w:sz="4" w:space="0"/>
          <w:bottom w:val="single" w:color="FFFFFF" w:themeColor="light1" w:sz="4" w:space="0"/>
        </w:tcBorders>
        <w:shd w:val="clear" w:color="B2A1C6" w:themeColor="accent4" w:themeTint="9A" w:fill="auto"/>
      </w:tcPr>
    </w:tblStylePr>
  </w:style>
  <w:style w:type="table" w:customStyle="1" w:styleId="147">
    <w:name w:val="List Table 5 Dark - Accent 5"/>
    <w:basedOn w:val="4"/>
    <w:autoRedefine/>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auto"/>
      </w:tcPr>
    </w:tblStylePr>
    <w:tblStylePr w:type="band2Horz">
      <w:tcPr>
        <w:tcBorders>
          <w:top w:val="single" w:color="FFFFFF" w:themeColor="light1" w:sz="4" w:space="0"/>
          <w:bottom w:val="single" w:color="FFFFFF" w:themeColor="light1" w:sz="4" w:space="0"/>
        </w:tcBorders>
        <w:shd w:val="clear" w:color="92CCDC" w:themeColor="accent5" w:themeTint="9A" w:fill="auto"/>
      </w:tcPr>
    </w:tblStylePr>
  </w:style>
  <w:style w:type="table" w:customStyle="1" w:styleId="148">
    <w:name w:val="List Table 5 Dark - Accent 6"/>
    <w:basedOn w:val="4"/>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auto"/>
      </w:tcPr>
    </w:tblStylePr>
    <w:tblStylePr w:type="band2Horz">
      <w:tcPr>
        <w:tcBorders>
          <w:top w:val="single" w:color="FFFFFF" w:themeColor="light1" w:sz="4" w:space="0"/>
          <w:bottom w:val="single" w:color="FFFFFF" w:themeColor="light1" w:sz="4" w:space="0"/>
        </w:tcBorders>
        <w:shd w:val="clear" w:color="FAC090" w:themeColor="accent6" w:themeTint="98" w:fill="auto"/>
      </w:tcPr>
    </w:tblStylePr>
  </w:style>
  <w:style w:type="table" w:customStyle="1" w:styleId="149">
    <w:name w:val="Tabela de Lista 6 Colorida1"/>
    <w:basedOn w:val="4"/>
    <w:autoRedefine/>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auto"/>
      </w:tcPr>
    </w:tblStylePr>
    <w:tblStylePr w:type="band1Horz">
      <w:rPr>
        <w:rFonts w:ascii="Arial" w:hAnsi="Arial"/>
        <w:color w:val="000000" w:themeColor="text1"/>
        <w:sz w:val="22"/>
        <w14:textFill>
          <w14:solidFill>
            <w14:schemeClr w14:val="tx1"/>
          </w14:solidFill>
        </w14:textFill>
      </w:rPr>
      <w:tcPr>
        <w:shd w:val="clear" w:color="BEBEBE" w:themeColor="text1" w:themeTint="40" w:fill="auto"/>
      </w:tcPr>
    </w:tblStylePr>
    <w:tblStylePr w:type="band2Horz">
      <w:rPr>
        <w:rFonts w:ascii="Arial" w:hAnsi="Arial"/>
        <w:color w:val="000000" w:themeColor="text1"/>
        <w:sz w:val="22"/>
        <w14:textFill>
          <w14:solidFill>
            <w14:schemeClr w14:val="tx1"/>
          </w14:solidFill>
        </w14:textFill>
      </w:rPr>
    </w:tblStylePr>
  </w:style>
  <w:style w:type="table" w:customStyle="1" w:styleId="150">
    <w:name w:val="List Table 6 Colorful - Accent 1"/>
    <w:basedOn w:val="4"/>
    <w:autoRedefine/>
    <w:qFormat/>
    <w:uiPriority w:val="99"/>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1">
    <w:name w:val="List Table 6 Colorful - Accent 2"/>
    <w:basedOn w:val="4"/>
    <w:autoRedefine/>
    <w:qFormat/>
    <w:uiPriority w:val="99"/>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2">
    <w:name w:val="List Table 6 Colorful - Accent 3"/>
    <w:basedOn w:val="4"/>
    <w:autoRedefine/>
    <w:qFormat/>
    <w:uiPriority w:val="99"/>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3">
    <w:name w:val="List Table 6 Colorful - Accent 4"/>
    <w:basedOn w:val="4"/>
    <w:autoRedefine/>
    <w:qFormat/>
    <w:uiPriority w:val="99"/>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4">
    <w:name w:val="List Table 6 Colorful - Accent 5"/>
    <w:basedOn w:val="4"/>
    <w:qFormat/>
    <w:uiPriority w:val="99"/>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5">
    <w:name w:val="List Table 6 Colorful - Accent 6"/>
    <w:basedOn w:val="4"/>
    <w:qFormat/>
    <w:uiPriority w:val="99"/>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6">
    <w:name w:val="Tabela de Lista 7 Colorida1"/>
    <w:basedOn w:val="4"/>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7">
    <w:name w:val="List Table 7 Colorful - Accent 1"/>
    <w:basedOn w:val="4"/>
    <w:autoRedefine/>
    <w:qFormat/>
    <w:uiPriority w:val="99"/>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auto"/>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auto"/>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8">
    <w:name w:val="List Table 7 Colorful - Accent 2"/>
    <w:basedOn w:val="4"/>
    <w:autoRedefine/>
    <w:qFormat/>
    <w:uiPriority w:val="99"/>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9">
    <w:name w:val="List Table 7 Colorful - Accent 3"/>
    <w:basedOn w:val="4"/>
    <w:autoRedefine/>
    <w:qFormat/>
    <w:uiPriority w:val="99"/>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auto"/>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auto"/>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60">
    <w:name w:val="List Table 7 Colorful - Accent 4"/>
    <w:basedOn w:val="4"/>
    <w:autoRedefine/>
    <w:qFormat/>
    <w:uiPriority w:val="99"/>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1">
    <w:name w:val="List Table 7 Colorful - Accent 5"/>
    <w:basedOn w:val="4"/>
    <w:autoRedefine/>
    <w:qFormat/>
    <w:uiPriority w:val="99"/>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auto"/>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auto"/>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2">
    <w:name w:val="List Table 7 Colorful - Accent 6"/>
    <w:basedOn w:val="4"/>
    <w:qFormat/>
    <w:uiPriority w:val="99"/>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auto"/>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auto"/>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3">
    <w:name w:val="Lined - Accent"/>
    <w:basedOn w:val="4"/>
    <w:autoRedefine/>
    <w:qFormat/>
    <w:uiPriority w:val="99"/>
    <w:rPr>
      <w:color w:val="404040"/>
    </w:r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64">
    <w:name w:val="Lined - Accent 1"/>
    <w:basedOn w:val="4"/>
    <w:autoRedefine/>
    <w:qFormat/>
    <w:uiPriority w:val="99"/>
    <w:rPr>
      <w:color w:val="404040"/>
    </w:r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65">
    <w:name w:val="Lined - Accent 2"/>
    <w:basedOn w:val="4"/>
    <w:autoRedefine/>
    <w:qFormat/>
    <w:uiPriority w:val="99"/>
    <w:rPr>
      <w:color w:val="404040"/>
    </w:r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66">
    <w:name w:val="Lined - Accent 3"/>
    <w:basedOn w:val="4"/>
    <w:autoRedefine/>
    <w:qFormat/>
    <w:uiPriority w:val="99"/>
    <w:rPr>
      <w:color w:val="404040"/>
    </w:r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67">
    <w:name w:val="Lined - Accent 4"/>
    <w:basedOn w:val="4"/>
    <w:autoRedefine/>
    <w:qFormat/>
    <w:uiPriority w:val="99"/>
    <w:rPr>
      <w:color w:val="404040"/>
    </w:r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68">
    <w:name w:val="Lined - Accent 5"/>
    <w:basedOn w:val="4"/>
    <w:qFormat/>
    <w:uiPriority w:val="99"/>
    <w:rPr>
      <w:color w:val="404040"/>
    </w:r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69">
    <w:name w:val="Lined - Accent 6"/>
    <w:basedOn w:val="4"/>
    <w:autoRedefine/>
    <w:qFormat/>
    <w:uiPriority w:val="99"/>
    <w:rPr>
      <w:color w:val="404040"/>
    </w:r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0">
    <w:name w:val="Bordered &amp; Lined - Accent"/>
    <w:basedOn w:val="4"/>
    <w:autoRedefine/>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71">
    <w:name w:val="Bordered &amp; Lined - Accent 1"/>
    <w:basedOn w:val="4"/>
    <w:autoRedefine/>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72">
    <w:name w:val="Bordered &amp; Lined - Accent 2"/>
    <w:basedOn w:val="4"/>
    <w:autoRedefine/>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73">
    <w:name w:val="Bordered &amp; Lined - Accent 3"/>
    <w:basedOn w:val="4"/>
    <w:autoRedefine/>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4">
    <w:name w:val="Bordered &amp; Lined - Accent 4"/>
    <w:basedOn w:val="4"/>
    <w:autoRedefine/>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5">
    <w:name w:val="Bordered &amp; Lined - Accent 5"/>
    <w:basedOn w:val="4"/>
    <w:autoRedefine/>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6">
    <w:name w:val="Bordered &amp; Lined - Accent 6"/>
    <w:basedOn w:val="4"/>
    <w:autoRedefine/>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7">
    <w:name w:val="Bordered"/>
    <w:basedOn w:val="4"/>
    <w:autoRedefine/>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8">
    <w:name w:val="Bordered - Accent 1"/>
    <w:basedOn w:val="4"/>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79">
    <w:name w:val="Bordered - Accent 2"/>
    <w:basedOn w:val="4"/>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80">
    <w:name w:val="Bordered - Accent 3"/>
    <w:basedOn w:val="4"/>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1">
    <w:name w:val="Bordered - Accent 4"/>
    <w:basedOn w:val="4"/>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2">
    <w:name w:val="Bordered - Accent 5"/>
    <w:basedOn w:val="4"/>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3">
    <w:name w:val="Bordered - Accent 6"/>
    <w:basedOn w:val="4"/>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4">
    <w:name w:val="Footnote Text Char"/>
    <w:autoRedefine/>
    <w:qFormat/>
    <w:uiPriority w:val="99"/>
    <w:rPr>
      <w:sz w:val="18"/>
    </w:rPr>
  </w:style>
  <w:style w:type="character" w:customStyle="1" w:styleId="185">
    <w:name w:val="Endnote Text Char"/>
    <w:autoRedefine/>
    <w:qFormat/>
    <w:uiPriority w:val="99"/>
    <w:rPr>
      <w:sz w:val="20"/>
    </w:rPr>
  </w:style>
  <w:style w:type="paragraph" w:customStyle="1" w:styleId="186">
    <w:name w:val="Cabeçalho do Sumário1"/>
    <w:autoRedefine/>
    <w:unhideWhenUsed/>
    <w:qFormat/>
    <w:uiPriority w:val="39"/>
    <w:pPr>
      <w:spacing w:after="200" w:line="276" w:lineRule="auto"/>
    </w:pPr>
    <w:rPr>
      <w:rFonts w:asciiTheme="minorHAnsi" w:hAnsiTheme="minorHAnsi" w:eastAsiaTheme="minorHAnsi" w:cstheme="minorBidi"/>
      <w:sz w:val="22"/>
      <w:szCs w:val="22"/>
      <w:lang w:val="pt-BR" w:eastAsia="en-US" w:bidi="ar-SA"/>
    </w:rPr>
  </w:style>
  <w:style w:type="paragraph" w:customStyle="1" w:styleId="187">
    <w:name w:val="Título 11"/>
    <w:basedOn w:val="1"/>
    <w:next w:val="1"/>
    <w:link w:val="194"/>
    <w:autoRedefine/>
    <w:qFormat/>
    <w:uiPriority w:val="0"/>
    <w:pPr>
      <w:keepNext/>
      <w:spacing w:before="240" w:after="60"/>
      <w:outlineLvl w:val="0"/>
    </w:pPr>
    <w:rPr>
      <w:rFonts w:ascii="Arial" w:hAnsi="Arial" w:cs="Arial"/>
      <w:b/>
      <w:bCs/>
      <w:sz w:val="32"/>
      <w:szCs w:val="32"/>
    </w:rPr>
  </w:style>
  <w:style w:type="paragraph" w:customStyle="1" w:styleId="188">
    <w:name w:val="Título 21"/>
    <w:basedOn w:val="1"/>
    <w:next w:val="1"/>
    <w:link w:val="195"/>
    <w:autoRedefine/>
    <w:qFormat/>
    <w:uiPriority w:val="0"/>
    <w:pPr>
      <w:keepNext/>
      <w:jc w:val="center"/>
      <w:outlineLvl w:val="1"/>
    </w:pPr>
    <w:rPr>
      <w:b/>
      <w:bCs/>
    </w:rPr>
  </w:style>
  <w:style w:type="paragraph" w:customStyle="1" w:styleId="189">
    <w:name w:val="Título 31"/>
    <w:basedOn w:val="1"/>
    <w:next w:val="1"/>
    <w:link w:val="196"/>
    <w:autoRedefine/>
    <w:qFormat/>
    <w:uiPriority w:val="0"/>
    <w:pPr>
      <w:keepNext/>
      <w:spacing w:before="240" w:after="60"/>
      <w:outlineLvl w:val="2"/>
    </w:pPr>
    <w:rPr>
      <w:rFonts w:ascii="Arial" w:hAnsi="Arial" w:cs="Arial"/>
      <w:b/>
      <w:bCs/>
      <w:sz w:val="26"/>
      <w:szCs w:val="26"/>
    </w:rPr>
  </w:style>
  <w:style w:type="paragraph" w:customStyle="1" w:styleId="190">
    <w:name w:val="Título 41"/>
    <w:next w:val="1"/>
    <w:link w:val="289"/>
    <w:autoRedefine/>
    <w:semiHidden/>
    <w:unhideWhenUsed/>
    <w:qFormat/>
    <w:uiPriority w:val="0"/>
    <w:pPr>
      <w:spacing w:beforeAutospacing="1" w:afterAutospacing="1"/>
      <w:outlineLvl w:val="3"/>
    </w:pPr>
    <w:rPr>
      <w:rFonts w:hint="eastAsia" w:ascii="SimSun" w:hAnsi="SimSun" w:eastAsia="SimSun" w:cs="Times New Roman"/>
      <w:b/>
      <w:bCs/>
      <w:sz w:val="24"/>
      <w:szCs w:val="24"/>
      <w:lang w:val="en-US" w:eastAsia="zh-CN" w:bidi="ar-SA"/>
    </w:rPr>
  </w:style>
  <w:style w:type="paragraph" w:customStyle="1" w:styleId="191">
    <w:name w:val="Título 51"/>
    <w:basedOn w:val="1"/>
    <w:next w:val="1"/>
    <w:link w:val="290"/>
    <w:autoRedefine/>
    <w:qFormat/>
    <w:uiPriority w:val="0"/>
    <w:pPr>
      <w:spacing w:before="240" w:after="60"/>
      <w:outlineLvl w:val="4"/>
    </w:pPr>
    <w:rPr>
      <w:b/>
      <w:bCs/>
      <w:i/>
      <w:iCs/>
      <w:sz w:val="26"/>
      <w:szCs w:val="26"/>
    </w:rPr>
  </w:style>
  <w:style w:type="paragraph" w:customStyle="1" w:styleId="192">
    <w:name w:val="Título 61"/>
    <w:basedOn w:val="1"/>
    <w:next w:val="1"/>
    <w:link w:val="291"/>
    <w:autoRedefine/>
    <w:qFormat/>
    <w:uiPriority w:val="0"/>
    <w:pPr>
      <w:spacing w:before="240" w:after="60"/>
      <w:outlineLvl w:val="5"/>
    </w:pPr>
    <w:rPr>
      <w:b/>
      <w:bCs/>
      <w:sz w:val="22"/>
      <w:szCs w:val="22"/>
    </w:rPr>
  </w:style>
  <w:style w:type="paragraph" w:customStyle="1" w:styleId="193">
    <w:name w:val="Título 71"/>
    <w:basedOn w:val="1"/>
    <w:next w:val="1"/>
    <w:link w:val="292"/>
    <w:autoRedefine/>
    <w:qFormat/>
    <w:uiPriority w:val="0"/>
    <w:pPr>
      <w:spacing w:before="240" w:after="60"/>
      <w:outlineLvl w:val="6"/>
    </w:pPr>
  </w:style>
  <w:style w:type="character" w:customStyle="1" w:styleId="194">
    <w:name w:val="Título 1 Char"/>
    <w:basedOn w:val="3"/>
    <w:link w:val="187"/>
    <w:autoRedefine/>
    <w:qFormat/>
    <w:uiPriority w:val="9"/>
    <w:rPr>
      <w:rFonts w:ascii="Arial" w:hAnsi="Arial" w:eastAsia="Times New Roman" w:cs="Arial"/>
      <w:b/>
      <w:bCs/>
      <w:sz w:val="32"/>
      <w:szCs w:val="32"/>
      <w:lang w:eastAsia="pt-BR"/>
    </w:rPr>
  </w:style>
  <w:style w:type="character" w:customStyle="1" w:styleId="195">
    <w:name w:val="Título 2 Char"/>
    <w:basedOn w:val="3"/>
    <w:link w:val="188"/>
    <w:autoRedefine/>
    <w:qFormat/>
    <w:uiPriority w:val="99"/>
    <w:rPr>
      <w:rFonts w:ascii="Times New Roman" w:hAnsi="Times New Roman" w:eastAsia="Times New Roman" w:cs="Times New Roman"/>
      <w:b/>
      <w:bCs/>
      <w:sz w:val="24"/>
      <w:szCs w:val="24"/>
      <w:lang w:eastAsia="pt-BR"/>
    </w:rPr>
  </w:style>
  <w:style w:type="character" w:customStyle="1" w:styleId="196">
    <w:name w:val="Título 3 Char"/>
    <w:basedOn w:val="3"/>
    <w:link w:val="189"/>
    <w:autoRedefine/>
    <w:qFormat/>
    <w:uiPriority w:val="99"/>
    <w:rPr>
      <w:rFonts w:ascii="Arial" w:hAnsi="Arial" w:eastAsia="Times New Roman" w:cs="Arial"/>
      <w:b/>
      <w:bCs/>
      <w:sz w:val="26"/>
      <w:szCs w:val="26"/>
      <w:lang w:eastAsia="pt-BR"/>
    </w:rPr>
  </w:style>
  <w:style w:type="paragraph" w:customStyle="1" w:styleId="197">
    <w:name w:val="WW-Corpo de texto 2"/>
    <w:basedOn w:val="1"/>
    <w:autoRedefine/>
    <w:qFormat/>
    <w:uiPriority w:val="99"/>
    <w:pPr>
      <w:widowControl w:val="0"/>
      <w:tabs>
        <w:tab w:val="left" w:pos="5954"/>
      </w:tabs>
      <w:jc w:val="both"/>
    </w:pPr>
    <w:rPr>
      <w:sz w:val="20"/>
      <w:szCs w:val="20"/>
    </w:rPr>
  </w:style>
  <w:style w:type="character" w:customStyle="1" w:styleId="198">
    <w:name w:val="Corpo de texto Char"/>
    <w:basedOn w:val="3"/>
    <w:link w:val="14"/>
    <w:autoRedefine/>
    <w:qFormat/>
    <w:uiPriority w:val="0"/>
    <w:rPr>
      <w:rFonts w:ascii="Times New Roman" w:hAnsi="Times New Roman" w:eastAsia="Times New Roman" w:cs="Times New Roman"/>
      <w:b/>
      <w:bCs/>
      <w:sz w:val="24"/>
      <w:szCs w:val="24"/>
      <w:lang w:eastAsia="pt-BR"/>
    </w:rPr>
  </w:style>
  <w:style w:type="paragraph" w:customStyle="1" w:styleId="199">
    <w:name w:val="Cabeçalho1"/>
    <w:basedOn w:val="1"/>
    <w:link w:val="200"/>
    <w:autoRedefine/>
    <w:qFormat/>
    <w:uiPriority w:val="99"/>
    <w:pPr>
      <w:tabs>
        <w:tab w:val="center" w:pos="4252"/>
        <w:tab w:val="right" w:pos="8504"/>
      </w:tabs>
    </w:pPr>
  </w:style>
  <w:style w:type="character" w:customStyle="1" w:styleId="200">
    <w:name w:val="Cabeçalho Char"/>
    <w:basedOn w:val="3"/>
    <w:link w:val="199"/>
    <w:autoRedefine/>
    <w:qFormat/>
    <w:uiPriority w:val="99"/>
    <w:rPr>
      <w:rFonts w:ascii="Times New Roman" w:hAnsi="Times New Roman" w:eastAsia="Times New Roman" w:cs="Times New Roman"/>
      <w:sz w:val="24"/>
      <w:szCs w:val="24"/>
      <w:lang w:eastAsia="pt-BR"/>
    </w:rPr>
  </w:style>
  <w:style w:type="paragraph" w:customStyle="1" w:styleId="201">
    <w:name w:val="Rodapé1"/>
    <w:basedOn w:val="1"/>
    <w:link w:val="202"/>
    <w:autoRedefine/>
    <w:qFormat/>
    <w:uiPriority w:val="99"/>
    <w:pPr>
      <w:tabs>
        <w:tab w:val="center" w:pos="4252"/>
        <w:tab w:val="right" w:pos="8504"/>
      </w:tabs>
    </w:pPr>
  </w:style>
  <w:style w:type="character" w:customStyle="1" w:styleId="202">
    <w:name w:val="Rodapé Char"/>
    <w:basedOn w:val="3"/>
    <w:link w:val="201"/>
    <w:autoRedefine/>
    <w:qFormat/>
    <w:uiPriority w:val="99"/>
    <w:rPr>
      <w:rFonts w:ascii="Times New Roman" w:hAnsi="Times New Roman" w:eastAsia="Times New Roman" w:cs="Times New Roman"/>
      <w:sz w:val="24"/>
      <w:szCs w:val="24"/>
      <w:lang w:eastAsia="pt-BR"/>
    </w:rPr>
  </w:style>
  <w:style w:type="character" w:customStyle="1" w:styleId="203">
    <w:name w:val="Texto de balão Char"/>
    <w:basedOn w:val="3"/>
    <w:link w:val="33"/>
    <w:autoRedefine/>
    <w:qFormat/>
    <w:uiPriority w:val="0"/>
    <w:rPr>
      <w:rFonts w:ascii="Tahoma" w:hAnsi="Tahoma" w:eastAsia="Times New Roman" w:cs="Tahoma"/>
      <w:sz w:val="16"/>
      <w:szCs w:val="16"/>
      <w:lang w:eastAsia="pt-BR"/>
    </w:rPr>
  </w:style>
  <w:style w:type="character" w:customStyle="1" w:styleId="204">
    <w:name w:val="Corpo de texto 3 Char"/>
    <w:basedOn w:val="3"/>
    <w:link w:val="24"/>
    <w:autoRedefine/>
    <w:qFormat/>
    <w:uiPriority w:val="99"/>
    <w:rPr>
      <w:rFonts w:ascii="Times New Roman" w:hAnsi="Times New Roman" w:eastAsia="Times New Roman" w:cs="Times New Roman"/>
      <w:sz w:val="16"/>
      <w:szCs w:val="16"/>
      <w:lang w:eastAsia="pt-BR"/>
    </w:rPr>
  </w:style>
  <w:style w:type="character" w:customStyle="1" w:styleId="205">
    <w:name w:val="Título Char"/>
    <w:basedOn w:val="3"/>
    <w:link w:val="19"/>
    <w:autoRedefine/>
    <w:qFormat/>
    <w:uiPriority w:val="99"/>
    <w:rPr>
      <w:rFonts w:ascii="Times New Roman" w:hAnsi="Times New Roman" w:eastAsia="Times New Roman" w:cs="Times New Roman"/>
      <w:b/>
      <w:bCs/>
      <w:sz w:val="40"/>
      <w:szCs w:val="24"/>
      <w:lang w:eastAsia="pt-BR"/>
    </w:rPr>
  </w:style>
  <w:style w:type="character" w:customStyle="1" w:styleId="206">
    <w:name w:val="tex3"/>
    <w:basedOn w:val="3"/>
    <w:autoRedefine/>
    <w:qFormat/>
    <w:uiPriority w:val="0"/>
    <w:rPr>
      <w:rFonts w:cs="Times New Roman"/>
    </w:rPr>
  </w:style>
  <w:style w:type="character" w:customStyle="1" w:styleId="207">
    <w:name w:val="tex31"/>
    <w:basedOn w:val="3"/>
    <w:autoRedefine/>
    <w:qFormat/>
    <w:uiPriority w:val="99"/>
    <w:rPr>
      <w:rFonts w:ascii="Verdana" w:hAnsi="Verdana" w:cs="Times New Roman"/>
      <w:color w:val="000000"/>
      <w:sz w:val="11"/>
      <w:szCs w:val="11"/>
    </w:rPr>
  </w:style>
  <w:style w:type="character" w:customStyle="1" w:styleId="208">
    <w:name w:val="Corpo de texto 2 Char"/>
    <w:basedOn w:val="3"/>
    <w:link w:val="26"/>
    <w:autoRedefine/>
    <w:qFormat/>
    <w:uiPriority w:val="99"/>
    <w:rPr>
      <w:rFonts w:ascii="Times New Roman" w:hAnsi="Times New Roman" w:eastAsia="Times New Roman" w:cs="Times New Roman"/>
      <w:sz w:val="24"/>
      <w:szCs w:val="24"/>
      <w:lang w:eastAsia="pt-BR"/>
    </w:rPr>
  </w:style>
  <w:style w:type="character" w:customStyle="1" w:styleId="209">
    <w:name w:val="apple-style-span"/>
    <w:basedOn w:val="3"/>
    <w:autoRedefine/>
    <w:qFormat/>
    <w:uiPriority w:val="99"/>
    <w:rPr>
      <w:rFonts w:cs="Times New Roman"/>
    </w:rPr>
  </w:style>
  <w:style w:type="character" w:customStyle="1" w:styleId="210">
    <w:name w:val="color1"/>
    <w:basedOn w:val="3"/>
    <w:autoRedefine/>
    <w:qFormat/>
    <w:uiPriority w:val="99"/>
    <w:rPr>
      <w:rFonts w:ascii="Arial" w:hAnsi="Arial" w:cs="Arial"/>
      <w:color w:val="000000"/>
    </w:rPr>
  </w:style>
  <w:style w:type="character" w:customStyle="1" w:styleId="211">
    <w:name w:val="glossario1"/>
    <w:basedOn w:val="3"/>
    <w:autoRedefine/>
    <w:qFormat/>
    <w:uiPriority w:val="99"/>
    <w:rPr>
      <w:rFonts w:cs="Times New Roman"/>
      <w:b/>
      <w:bCs/>
      <w:color w:val="333333"/>
      <w:u w:val="single"/>
    </w:rPr>
  </w:style>
  <w:style w:type="character" w:customStyle="1" w:styleId="212">
    <w:name w:val="apple-converted-space"/>
    <w:basedOn w:val="3"/>
    <w:autoRedefine/>
    <w:qFormat/>
    <w:uiPriority w:val="0"/>
    <w:rPr>
      <w:rFonts w:cs="Times New Roman"/>
    </w:rPr>
  </w:style>
  <w:style w:type="character" w:customStyle="1" w:styleId="213">
    <w:name w:val="glossario-class"/>
    <w:basedOn w:val="3"/>
    <w:autoRedefine/>
    <w:qFormat/>
    <w:uiPriority w:val="99"/>
    <w:rPr>
      <w:rFonts w:cs="Times New Roman"/>
    </w:rPr>
  </w:style>
  <w:style w:type="character" w:customStyle="1" w:styleId="214">
    <w:name w:val="estdescrprod1"/>
    <w:basedOn w:val="3"/>
    <w:autoRedefine/>
    <w:qFormat/>
    <w:uiPriority w:val="99"/>
    <w:rPr>
      <w:rFonts w:ascii="Tahoma" w:hAnsi="Tahoma" w:cs="Tahoma"/>
      <w:color w:val="333333"/>
      <w:sz w:val="18"/>
      <w:szCs w:val="18"/>
    </w:rPr>
  </w:style>
  <w:style w:type="paragraph" w:customStyle="1" w:styleId="215">
    <w:name w:val="texto"/>
    <w:basedOn w:val="1"/>
    <w:autoRedefine/>
    <w:qFormat/>
    <w:uiPriority w:val="99"/>
    <w:pPr>
      <w:spacing w:before="100" w:beforeAutospacing="1" w:after="100" w:afterAutospacing="1"/>
    </w:pPr>
  </w:style>
  <w:style w:type="character" w:customStyle="1" w:styleId="216">
    <w:name w:val="txtproduto"/>
    <w:basedOn w:val="3"/>
    <w:autoRedefine/>
    <w:qFormat/>
    <w:uiPriority w:val="99"/>
    <w:rPr>
      <w:rFonts w:cs="Times New Roman"/>
    </w:rPr>
  </w:style>
  <w:style w:type="paragraph" w:customStyle="1" w:styleId="217">
    <w:name w:val="List Paragraph1"/>
    <w:basedOn w:val="1"/>
    <w:autoRedefine/>
    <w:qFormat/>
    <w:uiPriority w:val="99"/>
    <w:pPr>
      <w:ind w:left="720"/>
      <w:contextualSpacing/>
    </w:pPr>
  </w:style>
  <w:style w:type="paragraph" w:customStyle="1" w:styleId="218">
    <w:name w:val="western"/>
    <w:basedOn w:val="1"/>
    <w:autoRedefine/>
    <w:qFormat/>
    <w:uiPriority w:val="99"/>
    <w:pPr>
      <w:spacing w:before="100" w:beforeAutospacing="1" w:after="119"/>
    </w:pPr>
  </w:style>
  <w:style w:type="paragraph" w:customStyle="1" w:styleId="219">
    <w:name w:val="Default"/>
    <w:autoRedefine/>
    <w:qFormat/>
    <w:uiPriority w:val="0"/>
    <w:rPr>
      <w:rFonts w:ascii="Arial" w:hAnsi="Arial" w:eastAsia="Times New Roman" w:cs="Arial"/>
      <w:color w:val="000000"/>
      <w:sz w:val="24"/>
      <w:szCs w:val="24"/>
      <w:lang w:val="pt-BR" w:eastAsia="pt-BR" w:bidi="ar-SA"/>
    </w:rPr>
  </w:style>
  <w:style w:type="paragraph" w:styleId="220">
    <w:name w:val="List Paragraph"/>
    <w:basedOn w:val="1"/>
    <w:autoRedefine/>
    <w:qFormat/>
    <w:uiPriority w:val="34"/>
    <w:pPr>
      <w:ind w:left="720"/>
      <w:contextualSpacing/>
    </w:pPr>
  </w:style>
  <w:style w:type="character" w:customStyle="1" w:styleId="221">
    <w:name w:val="Texto de nota de rodapé Char"/>
    <w:basedOn w:val="3"/>
    <w:link w:val="35"/>
    <w:autoRedefine/>
    <w:semiHidden/>
    <w:qFormat/>
    <w:uiPriority w:val="99"/>
    <w:rPr>
      <w:rFonts w:ascii="Times New Roman" w:hAnsi="Times New Roman" w:eastAsia="Times New Roman" w:cs="Times New Roman"/>
      <w:sz w:val="20"/>
      <w:szCs w:val="20"/>
      <w:lang w:eastAsia="pt-BR"/>
    </w:rPr>
  </w:style>
  <w:style w:type="table" w:customStyle="1" w:styleId="222">
    <w:name w:val="Sombreamento Claro1"/>
    <w:basedOn w:val="4"/>
    <w:autoRedefine/>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styleId="223">
    <w:name w:val="No Spacing"/>
    <w:autoRedefine/>
    <w:qFormat/>
    <w:uiPriority w:val="1"/>
    <w:pPr>
      <w:widowControl w:val="0"/>
    </w:pPr>
    <w:rPr>
      <w:rFonts w:ascii="Times New Roman" w:hAnsi="Times New Roman" w:eastAsia="Tahoma" w:cs="Times New Roman"/>
      <w:sz w:val="24"/>
      <w:lang w:val="pt-BR" w:eastAsia="pt-BR" w:bidi="ar-SA"/>
    </w:rPr>
  </w:style>
  <w:style w:type="character" w:customStyle="1" w:styleId="224">
    <w:name w:val="Texto de nota de fim Char"/>
    <w:basedOn w:val="3"/>
    <w:link w:val="20"/>
    <w:autoRedefine/>
    <w:semiHidden/>
    <w:qFormat/>
    <w:uiPriority w:val="99"/>
    <w:rPr>
      <w:rFonts w:ascii="Times New Roman" w:hAnsi="Times New Roman" w:eastAsia="Times New Roman" w:cs="Times New Roman"/>
      <w:sz w:val="20"/>
      <w:szCs w:val="20"/>
      <w:lang w:eastAsia="pt-BR"/>
    </w:rPr>
  </w:style>
  <w:style w:type="paragraph" w:customStyle="1" w:styleId="225">
    <w:name w:val="ec_msonormal"/>
    <w:basedOn w:val="1"/>
    <w:autoRedefine/>
    <w:qFormat/>
    <w:uiPriority w:val="0"/>
    <w:pPr>
      <w:spacing w:after="324"/>
    </w:pPr>
  </w:style>
  <w:style w:type="paragraph" w:customStyle="1" w:styleId="226">
    <w:name w:val="WW-Corpo de texto 3"/>
    <w:basedOn w:val="1"/>
    <w:autoRedefine/>
    <w:qFormat/>
    <w:uiPriority w:val="0"/>
    <w:pPr>
      <w:widowControl w:val="0"/>
      <w:jc w:val="both"/>
    </w:pPr>
    <w:rPr>
      <w:rFonts w:ascii="Arial" w:hAnsi="Arial" w:eastAsia="Tahoma" w:cs="Arial"/>
      <w:b/>
      <w:sz w:val="20"/>
      <w:szCs w:val="20"/>
    </w:rPr>
  </w:style>
  <w:style w:type="paragraph" w:customStyle="1" w:styleId="227">
    <w:name w:val="Sem Espaçamento1"/>
    <w:autoRedefine/>
    <w:qFormat/>
    <w:uiPriority w:val="0"/>
    <w:rPr>
      <w:rFonts w:ascii="Calibri" w:hAnsi="Calibri" w:eastAsia="Times New Roman" w:cs="Times New Roman"/>
      <w:sz w:val="22"/>
      <w:szCs w:val="22"/>
      <w:lang w:val="pt-BR" w:eastAsia="en-US" w:bidi="ar-SA"/>
    </w:rPr>
  </w:style>
  <w:style w:type="paragraph" w:customStyle="1" w:styleId="228">
    <w:name w:val="Sem Espaçamento2"/>
    <w:autoRedefine/>
    <w:qFormat/>
    <w:uiPriority w:val="0"/>
    <w:rPr>
      <w:rFonts w:ascii="Calibri" w:hAnsi="Calibri" w:eastAsia="Times New Roman" w:cs="Times New Roman"/>
      <w:sz w:val="22"/>
      <w:szCs w:val="22"/>
      <w:lang w:val="pt-BR" w:eastAsia="en-US" w:bidi="ar-SA"/>
    </w:rPr>
  </w:style>
  <w:style w:type="character" w:customStyle="1" w:styleId="229">
    <w:name w:val="Referência Sutil1"/>
    <w:basedOn w:val="3"/>
    <w:autoRedefine/>
    <w:qFormat/>
    <w:uiPriority w:val="31"/>
    <w:rPr>
      <w:smallCaps/>
      <w:color w:val="C0504D" w:themeColor="accent2"/>
      <w:u w:val="single"/>
      <w14:textFill>
        <w14:solidFill>
          <w14:schemeClr w14:val="accent2"/>
        </w14:solidFill>
      </w14:textFill>
    </w:rPr>
  </w:style>
  <w:style w:type="paragraph" w:customStyle="1" w:styleId="230">
    <w:name w:val="xl63"/>
    <w:basedOn w:val="1"/>
    <w:autoRedefine/>
    <w:qFormat/>
    <w:uiPriority w:val="0"/>
    <w:pPr>
      <w:spacing w:before="100" w:beforeAutospacing="1" w:after="100" w:afterAutospacing="1"/>
      <w:jc w:val="center"/>
    </w:pPr>
    <w:rPr>
      <w:rFonts w:ascii="Arial" w:hAnsi="Arial" w:cs="Arial"/>
      <w:b/>
      <w:bCs/>
      <w:sz w:val="16"/>
      <w:szCs w:val="16"/>
    </w:rPr>
  </w:style>
  <w:style w:type="paragraph" w:customStyle="1" w:styleId="231">
    <w:name w:val="xl6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32">
    <w:name w:val="xl6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6"/>
      <w:szCs w:val="16"/>
    </w:rPr>
  </w:style>
  <w:style w:type="paragraph" w:customStyle="1" w:styleId="233">
    <w:name w:val="xl66"/>
    <w:basedOn w:val="1"/>
    <w:autoRedefine/>
    <w:qFormat/>
    <w:uiPriority w:val="0"/>
    <w:pPr>
      <w:spacing w:before="100" w:beforeAutospacing="1" w:after="100" w:afterAutospacing="1"/>
      <w:jc w:val="center"/>
    </w:pPr>
    <w:rPr>
      <w:rFonts w:ascii="Arial" w:hAnsi="Arial" w:cs="Arial"/>
      <w:sz w:val="16"/>
      <w:szCs w:val="16"/>
    </w:rPr>
  </w:style>
  <w:style w:type="paragraph" w:customStyle="1" w:styleId="234">
    <w:name w:val="xl6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35">
    <w:name w:val="xl6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36">
    <w:name w:val="xl6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37">
    <w:name w:val="xl7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38">
    <w:name w:val="xl71"/>
    <w:basedOn w:val="1"/>
    <w:autoRedefine/>
    <w:qFormat/>
    <w:uiPriority w:val="0"/>
    <w:pPr>
      <w:spacing w:before="100" w:beforeAutospacing="1" w:after="100" w:afterAutospacing="1"/>
    </w:pPr>
    <w:rPr>
      <w:rFonts w:ascii="Arial" w:hAnsi="Arial" w:cs="Arial"/>
      <w:sz w:val="16"/>
      <w:szCs w:val="16"/>
    </w:rPr>
  </w:style>
  <w:style w:type="paragraph" w:customStyle="1" w:styleId="239">
    <w:name w:val="xl7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0">
    <w:name w:val="xl7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1">
    <w:name w:val="xl7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2">
    <w:name w:val="xl75"/>
    <w:basedOn w:val="1"/>
    <w:autoRedefine/>
    <w:qFormat/>
    <w:uiPriority w:val="0"/>
    <w:pPr>
      <w:spacing w:before="100" w:beforeAutospacing="1" w:after="100" w:afterAutospacing="1"/>
    </w:pPr>
    <w:rPr>
      <w:rFonts w:ascii="Arial" w:hAnsi="Arial" w:cs="Arial"/>
      <w:sz w:val="16"/>
      <w:szCs w:val="16"/>
    </w:rPr>
  </w:style>
  <w:style w:type="paragraph" w:customStyle="1" w:styleId="243">
    <w:name w:val="xl76"/>
    <w:basedOn w:val="1"/>
    <w:autoRedefine/>
    <w:qFormat/>
    <w:uiPriority w:val="0"/>
    <w:pPr>
      <w:spacing w:before="100" w:beforeAutospacing="1" w:after="100" w:afterAutospacing="1"/>
      <w:jc w:val="center"/>
    </w:pPr>
    <w:rPr>
      <w:rFonts w:ascii="Arial" w:hAnsi="Arial" w:cs="Arial"/>
      <w:sz w:val="16"/>
      <w:szCs w:val="16"/>
    </w:rPr>
  </w:style>
  <w:style w:type="paragraph" w:customStyle="1" w:styleId="244">
    <w:name w:val="xl77"/>
    <w:basedOn w:val="1"/>
    <w:autoRedefine/>
    <w:qFormat/>
    <w:uiPriority w:val="0"/>
    <w:pPr>
      <w:spacing w:before="100" w:beforeAutospacing="1" w:after="100" w:afterAutospacing="1"/>
    </w:pPr>
    <w:rPr>
      <w:rFonts w:ascii="Arial" w:hAnsi="Arial" w:cs="Arial"/>
      <w:sz w:val="16"/>
      <w:szCs w:val="16"/>
    </w:rPr>
  </w:style>
  <w:style w:type="paragraph" w:customStyle="1" w:styleId="245">
    <w:name w:val="xl7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46">
    <w:name w:val="xl7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7">
    <w:name w:val="xl8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48">
    <w:name w:val="xl8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49">
    <w:name w:val="xl8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50">
    <w:name w:val="xl8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51">
    <w:name w:val="xl84"/>
    <w:basedOn w:val="1"/>
    <w:autoRedefine/>
    <w:qFormat/>
    <w:uiPriority w:val="0"/>
    <w:pPr>
      <w:spacing w:before="100" w:beforeAutospacing="1" w:after="100" w:afterAutospacing="1"/>
      <w:jc w:val="right"/>
    </w:pPr>
    <w:rPr>
      <w:rFonts w:ascii="Arial" w:hAnsi="Arial" w:cs="Arial"/>
      <w:sz w:val="16"/>
      <w:szCs w:val="16"/>
    </w:rPr>
  </w:style>
  <w:style w:type="paragraph" w:customStyle="1" w:styleId="252">
    <w:name w:val="xl8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3">
    <w:name w:val="xl8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4">
    <w:name w:val="xl8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5">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6">
    <w:name w:val="xl8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7">
    <w:name w:val="xl9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8">
    <w:name w:val="xl91"/>
    <w:basedOn w:val="1"/>
    <w:autoRedefine/>
    <w:qFormat/>
    <w:uiPriority w:val="0"/>
    <w:pPr>
      <w:spacing w:before="100" w:beforeAutospacing="1" w:after="100" w:afterAutospacing="1"/>
    </w:pPr>
    <w:rPr>
      <w:rFonts w:ascii="Arial" w:hAnsi="Arial" w:cs="Arial"/>
      <w:sz w:val="16"/>
      <w:szCs w:val="16"/>
    </w:rPr>
  </w:style>
  <w:style w:type="paragraph" w:customStyle="1" w:styleId="259">
    <w:name w:val="xl9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60">
    <w:name w:val="xl9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1">
    <w:name w:val="xl94"/>
    <w:basedOn w:val="1"/>
    <w:autoRedefine/>
    <w:qFormat/>
    <w:uiPriority w:val="0"/>
    <w:pPr>
      <w:pBdr>
        <w:top w:val="single" w:color="auto" w:sz="4" w:space="0"/>
        <w:left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2">
    <w:name w:val="xl95"/>
    <w:basedOn w:val="1"/>
    <w:autoRedefine/>
    <w:qFormat/>
    <w:uiPriority w:val="0"/>
    <w:pPr>
      <w:pBdr>
        <w:left w:val="single" w:color="auto" w:sz="8" w:space="0"/>
        <w:bottom w:val="single" w:color="auto" w:sz="8" w:space="0"/>
        <w:right w:val="single" w:color="auto" w:sz="8" w:space="0"/>
      </w:pBdr>
      <w:spacing w:before="100" w:beforeAutospacing="1" w:after="100" w:afterAutospacing="1"/>
    </w:pPr>
    <w:rPr>
      <w:rFonts w:ascii="Arial" w:hAnsi="Arial" w:cs="Arial"/>
      <w:sz w:val="16"/>
      <w:szCs w:val="16"/>
    </w:rPr>
  </w:style>
  <w:style w:type="paragraph" w:customStyle="1" w:styleId="263">
    <w:name w:val="xl9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4"/>
      <w:szCs w:val="14"/>
    </w:rPr>
  </w:style>
  <w:style w:type="paragraph" w:customStyle="1" w:styleId="264">
    <w:name w:val="xl9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2"/>
      <w:szCs w:val="12"/>
    </w:rPr>
  </w:style>
  <w:style w:type="paragraph" w:customStyle="1" w:styleId="265">
    <w:name w:val="xl9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character" w:customStyle="1" w:styleId="266">
    <w:name w:val="description__descriptionui-xdq6yf-0"/>
    <w:basedOn w:val="3"/>
    <w:autoRedefine/>
    <w:qFormat/>
    <w:uiPriority w:val="0"/>
  </w:style>
  <w:style w:type="character" w:customStyle="1" w:styleId="267">
    <w:name w:val="Link da Internet"/>
    <w:autoRedefine/>
    <w:qFormat/>
    <w:uiPriority w:val="0"/>
    <w:rPr>
      <w:color w:val="000080"/>
      <w:u w:val="single"/>
    </w:rPr>
  </w:style>
  <w:style w:type="paragraph" w:customStyle="1" w:styleId="268">
    <w:name w:val="Recuo de corpo de texto 32"/>
    <w:basedOn w:val="1"/>
    <w:autoRedefine/>
    <w:qFormat/>
    <w:uiPriority w:val="0"/>
    <w:pPr>
      <w:widowControl w:val="0"/>
      <w:tabs>
        <w:tab w:val="left" w:pos="-10396"/>
      </w:tabs>
      <w:spacing w:after="120"/>
      <w:ind w:left="1134" w:hanging="567"/>
      <w:jc w:val="both"/>
    </w:pPr>
    <w:rPr>
      <w:sz w:val="20"/>
      <w:szCs w:val="20"/>
    </w:rPr>
  </w:style>
  <w:style w:type="paragraph" w:customStyle="1" w:styleId="269">
    <w:name w:val="11"/>
    <w:basedOn w:val="1"/>
    <w:autoRedefine/>
    <w:qFormat/>
    <w:uiPriority w:val="0"/>
    <w:pPr>
      <w:widowControl w:val="0"/>
      <w:ind w:left="1701" w:hanging="850"/>
      <w:jc w:val="both"/>
    </w:pPr>
    <w:rPr>
      <w:sz w:val="20"/>
      <w:szCs w:val="20"/>
    </w:rPr>
  </w:style>
  <w:style w:type="paragraph" w:customStyle="1" w:styleId="270">
    <w:name w:val="Body Text 21"/>
    <w:basedOn w:val="1"/>
    <w:autoRedefine/>
    <w:qFormat/>
    <w:uiPriority w:val="0"/>
    <w:pPr>
      <w:widowControl w:val="0"/>
      <w:jc w:val="both"/>
    </w:pPr>
    <w:rPr>
      <w:sz w:val="20"/>
      <w:szCs w:val="20"/>
    </w:rPr>
  </w:style>
  <w:style w:type="paragraph" w:customStyle="1" w:styleId="271">
    <w:name w:val="Recuo de corpo de texto 31"/>
    <w:basedOn w:val="1"/>
    <w:autoRedefine/>
    <w:qFormat/>
    <w:uiPriority w:val="0"/>
    <w:pPr>
      <w:widowControl w:val="0"/>
      <w:tabs>
        <w:tab w:val="left" w:pos="-10396"/>
      </w:tabs>
      <w:spacing w:after="120"/>
      <w:ind w:left="1134" w:hanging="567"/>
      <w:jc w:val="both"/>
    </w:pPr>
    <w:rPr>
      <w:sz w:val="20"/>
      <w:szCs w:val="20"/>
    </w:rPr>
  </w:style>
  <w:style w:type="paragraph" w:customStyle="1" w:styleId="272">
    <w:name w:val="Recuo de corpo de texto 21"/>
    <w:basedOn w:val="1"/>
    <w:autoRedefine/>
    <w:qFormat/>
    <w:uiPriority w:val="0"/>
    <w:pPr>
      <w:widowControl w:val="0"/>
      <w:tabs>
        <w:tab w:val="left" w:pos="29778"/>
      </w:tabs>
      <w:spacing w:before="120"/>
      <w:ind w:left="709" w:hanging="709"/>
      <w:jc w:val="both"/>
    </w:pPr>
  </w:style>
  <w:style w:type="paragraph" w:customStyle="1" w:styleId="273">
    <w:name w:val="PADRÃO"/>
    <w:autoRedefine/>
    <w:qFormat/>
    <w:uiPriority w:val="0"/>
    <w:pPr>
      <w:keepNext/>
      <w:widowControl w:val="0"/>
      <w:shd w:val="clear" w:color="auto" w:fill="FFFFFF"/>
      <w:spacing w:before="119" w:after="119" w:line="276" w:lineRule="auto"/>
      <w:ind w:firstLine="567"/>
      <w:jc w:val="both"/>
    </w:pPr>
    <w:rPr>
      <w:rFonts w:ascii="ecofont_spranq_eco_sans" w:hAnsi="ecofont_spranq_eco_sans" w:eastAsia="wenquanyi micro hei" w:cs="lohit hindi"/>
      <w:szCs w:val="24"/>
      <w:lang w:val="pt-BR" w:eastAsia="zh-CN" w:bidi="hi-IN"/>
    </w:rPr>
  </w:style>
  <w:style w:type="paragraph" w:customStyle="1" w:styleId="274">
    <w:name w:val="Cabeçalho11"/>
    <w:basedOn w:val="1"/>
    <w:autoRedefine/>
    <w:qFormat/>
    <w:uiPriority w:val="99"/>
    <w:pPr>
      <w:widowControl w:val="0"/>
      <w:suppressLineNumbers/>
      <w:tabs>
        <w:tab w:val="center" w:pos="4818"/>
        <w:tab w:val="right" w:pos="9637"/>
      </w:tabs>
    </w:pPr>
  </w:style>
  <w:style w:type="paragraph" w:customStyle="1" w:styleId="275">
    <w:name w:val="WW-Texto simples"/>
    <w:basedOn w:val="1"/>
    <w:autoRedefine/>
    <w:qFormat/>
    <w:uiPriority w:val="0"/>
    <w:rPr>
      <w:rFonts w:ascii="Courier New" w:hAnsi="Courier New"/>
      <w:sz w:val="20"/>
      <w:szCs w:val="20"/>
    </w:rPr>
  </w:style>
  <w:style w:type="paragraph" w:styleId="276">
    <w:name w:val="Quote"/>
    <w:basedOn w:val="1"/>
    <w:next w:val="1"/>
    <w:link w:val="277"/>
    <w:autoRedefine/>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ahoma"/>
      <w:i/>
      <w:iCs/>
      <w:color w:val="000000"/>
      <w:sz w:val="20"/>
      <w:lang w:eastAsia="en-US"/>
    </w:rPr>
  </w:style>
  <w:style w:type="character" w:customStyle="1" w:styleId="277">
    <w:name w:val="Citação Char"/>
    <w:basedOn w:val="3"/>
    <w:link w:val="276"/>
    <w:autoRedefine/>
    <w:qFormat/>
    <w:uiPriority w:val="0"/>
    <w:rPr>
      <w:rFonts w:ascii="Arial" w:hAnsi="Arial" w:eastAsia="Calibri" w:cs="Tahoma"/>
      <w:i/>
      <w:iCs/>
      <w:color w:val="000000"/>
      <w:sz w:val="20"/>
      <w:szCs w:val="24"/>
      <w:shd w:val="clear" w:color="auto" w:fill="FFFFCC"/>
    </w:rPr>
  </w:style>
  <w:style w:type="paragraph" w:customStyle="1" w:styleId="278">
    <w:name w:val="Nivel 01"/>
    <w:basedOn w:val="187"/>
    <w:next w:val="1"/>
    <w:link w:val="280"/>
    <w:autoRedefine/>
    <w:qFormat/>
    <w:uiPriority w:val="0"/>
    <w:pPr>
      <w:keepLines/>
      <w:numPr>
        <w:ilvl w:val="0"/>
        <w:numId w:val="1"/>
      </w:numPr>
      <w:tabs>
        <w:tab w:val="left" w:pos="567"/>
      </w:tabs>
      <w:spacing w:after="0"/>
      <w:jc w:val="both"/>
    </w:pPr>
    <w:rPr>
      <w:rFonts w:ascii="ecofont_spranq_eco_sans" w:hAnsi="ecofont_spranq_eco_sans" w:cs="Times New Roman" w:eastAsiaTheme="majorEastAsia"/>
      <w:color w:val="000000"/>
      <w:sz w:val="20"/>
      <w:szCs w:val="20"/>
    </w:rPr>
  </w:style>
  <w:style w:type="character" w:customStyle="1" w:styleId="279">
    <w:name w:val="Pré-formatação HTML Char"/>
    <w:basedOn w:val="3"/>
    <w:link w:val="25"/>
    <w:autoRedefine/>
    <w:qFormat/>
    <w:uiPriority w:val="0"/>
    <w:rPr>
      <w:rFonts w:ascii="Arial Unicode MS" w:hAnsi="Arial Unicode MS" w:eastAsia="Arial Unicode MS" w:cs="Arial Unicode MS"/>
      <w:sz w:val="24"/>
      <w:szCs w:val="24"/>
      <w:lang w:eastAsia="pt-BR"/>
    </w:rPr>
  </w:style>
  <w:style w:type="character" w:customStyle="1" w:styleId="280">
    <w:name w:val="Nivel 01 Char"/>
    <w:basedOn w:val="205"/>
    <w:link w:val="278"/>
    <w:autoRedefine/>
    <w:qFormat/>
    <w:uiPriority w:val="0"/>
    <w:rPr>
      <w:rFonts w:ascii="ecofont_spranq_eco_sans" w:hAnsi="ecofont_spranq_eco_sans" w:cs="Times New Roman" w:eastAsiaTheme="majorEastAsia"/>
      <w:color w:val="000000"/>
      <w:sz w:val="40"/>
      <w:szCs w:val="24"/>
      <w:lang w:eastAsia="pt-BR"/>
    </w:rPr>
  </w:style>
  <w:style w:type="character" w:customStyle="1" w:styleId="281">
    <w:name w:val="Fonte parág. padrão5"/>
    <w:autoRedefine/>
    <w:qFormat/>
    <w:uiPriority w:val="0"/>
  </w:style>
  <w:style w:type="paragraph" w:customStyle="1" w:styleId="282">
    <w:name w:val="Corpo de texto 21"/>
    <w:basedOn w:val="1"/>
    <w:autoRedefine/>
    <w:qFormat/>
    <w:uiPriority w:val="0"/>
    <w:pPr>
      <w:widowControl w:val="0"/>
      <w:spacing w:after="240"/>
      <w:jc w:val="both"/>
    </w:pPr>
    <w:rPr>
      <w:rFonts w:ascii="Arial" w:hAnsi="Arial"/>
      <w:sz w:val="22"/>
      <w:szCs w:val="20"/>
      <w:lang w:val="pt-PT"/>
    </w:rPr>
  </w:style>
  <w:style w:type="paragraph" w:customStyle="1" w:styleId="283">
    <w:name w:val="Texto em bloco1"/>
    <w:basedOn w:val="1"/>
    <w:autoRedefine/>
    <w:qFormat/>
    <w:uiPriority w:val="0"/>
    <w:pPr>
      <w:widowControl w:val="0"/>
      <w:spacing w:after="120"/>
      <w:ind w:left="1843" w:right="51" w:hanging="709"/>
      <w:jc w:val="both"/>
    </w:pPr>
    <w:rPr>
      <w:rFonts w:ascii="Arial" w:hAnsi="Arial"/>
      <w:sz w:val="22"/>
      <w:szCs w:val="20"/>
      <w:lang w:val="pt-PT"/>
    </w:rPr>
  </w:style>
  <w:style w:type="paragraph" w:customStyle="1" w:styleId="284">
    <w:name w:val="Recuo de corpo de texto 33"/>
    <w:basedOn w:val="1"/>
    <w:autoRedefine/>
    <w:qFormat/>
    <w:uiPriority w:val="0"/>
    <w:pPr>
      <w:widowControl w:val="0"/>
      <w:tabs>
        <w:tab w:val="left" w:pos="-10396"/>
      </w:tabs>
      <w:spacing w:after="120"/>
      <w:ind w:left="1134" w:hanging="567"/>
      <w:jc w:val="both"/>
    </w:pPr>
    <w:rPr>
      <w:sz w:val="20"/>
      <w:szCs w:val="20"/>
    </w:rPr>
  </w:style>
  <w:style w:type="character" w:styleId="285">
    <w:name w:val="Placeholder Text"/>
    <w:basedOn w:val="3"/>
    <w:autoRedefine/>
    <w:semiHidden/>
    <w:qFormat/>
    <w:uiPriority w:val="99"/>
    <w:rPr>
      <w:color w:val="808080"/>
    </w:rPr>
  </w:style>
  <w:style w:type="paragraph" w:customStyle="1" w:styleId="286">
    <w:name w:val="Normal1"/>
    <w:autoRedefine/>
    <w:qFormat/>
    <w:uiPriority w:val="0"/>
    <w:pPr>
      <w:spacing w:line="276" w:lineRule="auto"/>
      <w:contextualSpacing/>
    </w:pPr>
    <w:rPr>
      <w:rFonts w:ascii="Arial" w:hAnsi="Arial" w:eastAsia="Arial" w:cs="Arial"/>
      <w:sz w:val="22"/>
      <w:szCs w:val="22"/>
      <w:lang w:val="pt-BR" w:eastAsia="pt-BR" w:bidi="ar-SA"/>
    </w:rPr>
  </w:style>
  <w:style w:type="paragraph" w:customStyle="1" w:styleId="287">
    <w:name w:val="item"/>
    <w:basedOn w:val="1"/>
    <w:autoRedefine/>
    <w:qFormat/>
    <w:uiPriority w:val="0"/>
    <w:pPr>
      <w:spacing w:before="100" w:beforeAutospacing="1" w:after="100" w:afterAutospacing="1"/>
    </w:pPr>
  </w:style>
  <w:style w:type="paragraph" w:customStyle="1" w:styleId="288">
    <w:name w:val="dou-paragraph"/>
    <w:basedOn w:val="1"/>
    <w:autoRedefine/>
    <w:qFormat/>
    <w:uiPriority w:val="0"/>
    <w:pPr>
      <w:spacing w:before="100" w:beforeAutospacing="1" w:after="100" w:afterAutospacing="1"/>
    </w:pPr>
  </w:style>
  <w:style w:type="character" w:customStyle="1" w:styleId="289">
    <w:name w:val="Título 4 Char"/>
    <w:basedOn w:val="3"/>
    <w:link w:val="190"/>
    <w:autoRedefine/>
    <w:semiHidden/>
    <w:qFormat/>
    <w:uiPriority w:val="0"/>
    <w:rPr>
      <w:rFonts w:ascii="SimSun" w:hAnsi="SimSun" w:eastAsia="SimSun" w:cs="Times New Roman"/>
      <w:b/>
      <w:bCs/>
      <w:sz w:val="24"/>
      <w:szCs w:val="24"/>
      <w:lang w:val="en-US" w:eastAsia="zh-CN"/>
    </w:rPr>
  </w:style>
  <w:style w:type="character" w:customStyle="1" w:styleId="290">
    <w:name w:val="Título 5 Char"/>
    <w:basedOn w:val="3"/>
    <w:link w:val="191"/>
    <w:autoRedefine/>
    <w:qFormat/>
    <w:uiPriority w:val="0"/>
    <w:rPr>
      <w:rFonts w:ascii="Times New Roman" w:hAnsi="Times New Roman" w:eastAsia="Times New Roman" w:cs="Times New Roman"/>
      <w:b/>
      <w:bCs/>
      <w:i/>
      <w:iCs/>
      <w:sz w:val="26"/>
      <w:szCs w:val="26"/>
      <w:lang w:eastAsia="pt-BR"/>
    </w:rPr>
  </w:style>
  <w:style w:type="character" w:customStyle="1" w:styleId="291">
    <w:name w:val="Título 6 Char"/>
    <w:basedOn w:val="3"/>
    <w:link w:val="192"/>
    <w:autoRedefine/>
    <w:qFormat/>
    <w:uiPriority w:val="0"/>
    <w:rPr>
      <w:rFonts w:ascii="Times New Roman" w:hAnsi="Times New Roman" w:eastAsia="Times New Roman" w:cs="Times New Roman"/>
      <w:b/>
      <w:bCs/>
      <w:lang w:eastAsia="pt-BR"/>
    </w:rPr>
  </w:style>
  <w:style w:type="character" w:customStyle="1" w:styleId="292">
    <w:name w:val="Título 7 Char"/>
    <w:basedOn w:val="3"/>
    <w:link w:val="193"/>
    <w:autoRedefine/>
    <w:qFormat/>
    <w:uiPriority w:val="0"/>
    <w:rPr>
      <w:rFonts w:ascii="Times New Roman" w:hAnsi="Times New Roman" w:eastAsia="Times New Roman" w:cs="Times New Roman"/>
      <w:sz w:val="24"/>
      <w:szCs w:val="24"/>
      <w:lang w:eastAsia="pt-BR"/>
    </w:rPr>
  </w:style>
  <w:style w:type="character" w:customStyle="1" w:styleId="293">
    <w:name w:val="Recuo de corpo de texto Char"/>
    <w:basedOn w:val="3"/>
    <w:link w:val="37"/>
    <w:autoRedefine/>
    <w:qFormat/>
    <w:uiPriority w:val="0"/>
    <w:rPr>
      <w:rFonts w:ascii="Times New Roman" w:hAnsi="Times New Roman" w:eastAsia="Times New Roman" w:cs="Times New Roman"/>
      <w:color w:val="000000"/>
      <w:sz w:val="28"/>
      <w:szCs w:val="24"/>
      <w:lang w:eastAsia="pt-BR"/>
    </w:rPr>
  </w:style>
  <w:style w:type="character" w:customStyle="1" w:styleId="294">
    <w:name w:val="Recuo de corpo de texto 3 Char"/>
    <w:basedOn w:val="3"/>
    <w:link w:val="31"/>
    <w:autoRedefine/>
    <w:qFormat/>
    <w:uiPriority w:val="0"/>
    <w:rPr>
      <w:rFonts w:ascii="Times New Roman" w:hAnsi="Times New Roman" w:eastAsia="Times New Roman" w:cs="Times New Roman"/>
      <w:sz w:val="16"/>
      <w:szCs w:val="16"/>
      <w:lang w:eastAsia="pt-BR"/>
    </w:rPr>
  </w:style>
  <w:style w:type="paragraph" w:customStyle="1" w:styleId="295">
    <w:name w:val="yiv2657303166msonormal"/>
    <w:basedOn w:val="1"/>
    <w:qFormat/>
    <w:uiPriority w:val="0"/>
    <w:pPr>
      <w:spacing w:before="100" w:beforeAutospacing="1" w:after="100" w:afterAutospacing="1"/>
    </w:pPr>
  </w:style>
  <w:style w:type="character" w:customStyle="1" w:styleId="296">
    <w:name w:val="Cabeçalho Char1"/>
    <w:basedOn w:val="3"/>
    <w:link w:val="27"/>
    <w:autoRedefine/>
    <w:qFormat/>
    <w:uiPriority w:val="99"/>
    <w:rPr>
      <w:rFonts w:ascii="Times New Roman" w:hAnsi="Times New Roman" w:eastAsia="Times New Roman" w:cs="Times New Roman"/>
      <w:sz w:val="24"/>
      <w:szCs w:val="24"/>
      <w:lang w:eastAsia="pt-BR"/>
    </w:rPr>
  </w:style>
  <w:style w:type="character" w:customStyle="1" w:styleId="297">
    <w:name w:val="Rodapé Char1"/>
    <w:basedOn w:val="3"/>
    <w:link w:val="29"/>
    <w:autoRedefine/>
    <w:qFormat/>
    <w:uiPriority w:val="99"/>
    <w:rPr>
      <w:rFonts w:ascii="Times New Roman" w:hAnsi="Times New Roman" w:eastAsia="Times New Roman" w:cs="Times New Roman"/>
      <w:sz w:val="24"/>
      <w:szCs w:val="24"/>
      <w:lang w:eastAsia="pt-BR"/>
    </w:rPr>
  </w:style>
  <w:style w:type="paragraph" w:customStyle="1" w:styleId="298">
    <w:name w:val="Standard"/>
    <w:autoRedefine/>
    <w:qFormat/>
    <w:uiPriority w:val="0"/>
    <w:pPr>
      <w:widowControl w:val="0"/>
      <w:suppressAutoHyphens/>
      <w:autoSpaceDN w:val="0"/>
      <w:textAlignment w:val="baseline"/>
    </w:pPr>
    <w:rPr>
      <w:rFonts w:ascii="Liberation Serif" w:hAnsi="Liberation Serif" w:eastAsia="Droid Sans Fallback" w:cs="FreeSans"/>
      <w:kern w:val="3"/>
      <w:sz w:val="24"/>
      <w:szCs w:val="24"/>
      <w:lang w:val="pt-BR" w:eastAsia="zh-CN" w:bidi="hi-IN"/>
    </w:rPr>
  </w:style>
  <w:style w:type="character" w:customStyle="1" w:styleId="299">
    <w:name w:val="font01"/>
    <w:autoRedefine/>
    <w:qFormat/>
    <w:uiPriority w:val="0"/>
    <w:rPr>
      <w:rFonts w:hint="default" w:ascii="Arial" w:hAnsi="Arial" w:cs="Arial"/>
      <w:color w:val="000000"/>
      <w:u w:val="none"/>
    </w:rPr>
  </w:style>
  <w:style w:type="character" w:customStyle="1" w:styleId="300">
    <w:name w:val="font11"/>
    <w:autoRedefine/>
    <w:qFormat/>
    <w:uiPriority w:val="0"/>
    <w:rPr>
      <w:rFonts w:hint="default" w:ascii="Arial" w:hAnsi="Arial" w:cs="Arial"/>
      <w:color w:val="000000"/>
      <w:u w:val="none"/>
    </w:rPr>
  </w:style>
  <w:style w:type="paragraph" w:customStyle="1" w:styleId="301">
    <w:name w:val="Rodapé2"/>
    <w:basedOn w:val="1"/>
    <w:qFormat/>
    <w:uiPriority w:val="99"/>
    <w:pPr>
      <w:tabs>
        <w:tab w:val="center" w:pos="4252"/>
        <w:tab w:val="right" w:pos="8504"/>
      </w:tabs>
    </w:pPr>
  </w:style>
  <w:style w:type="character" w:customStyle="1" w:styleId="302">
    <w:name w:val="Nivel 2 Char"/>
    <w:basedOn w:val="3"/>
    <w:link w:val="303"/>
    <w:autoRedefine/>
    <w:qFormat/>
    <w:locked/>
    <w:uiPriority w:val="0"/>
    <w:rPr>
      <w:rFonts w:ascii="Arial" w:hAnsi="Arial" w:cs="Arial"/>
      <w:color w:val="000000"/>
      <w:lang w:eastAsia="pt-BR"/>
    </w:rPr>
  </w:style>
  <w:style w:type="paragraph" w:customStyle="1" w:styleId="303">
    <w:name w:val="Nivel 2"/>
    <w:basedOn w:val="1"/>
    <w:link w:val="302"/>
    <w:autoRedefine/>
    <w:qFormat/>
    <w:uiPriority w:val="0"/>
    <w:pPr>
      <w:spacing w:before="120" w:after="120" w:line="276" w:lineRule="auto"/>
      <w:jc w:val="both"/>
    </w:pPr>
    <w:rPr>
      <w:rFonts w:ascii="Arial" w:hAnsi="Arial" w:cs="Arial" w:eastAsiaTheme="minorHAnsi"/>
      <w:color w:val="000000"/>
      <w:sz w:val="22"/>
      <w:szCs w:val="22"/>
    </w:rPr>
  </w:style>
  <w:style w:type="paragraph" w:customStyle="1" w:styleId="304">
    <w:name w:val="Nivel 3"/>
    <w:basedOn w:val="1"/>
    <w:link w:val="307"/>
    <w:autoRedefine/>
    <w:qFormat/>
    <w:uiPriority w:val="0"/>
    <w:pPr>
      <w:spacing w:before="120" w:after="120" w:line="276" w:lineRule="auto"/>
      <w:ind w:left="284"/>
      <w:jc w:val="both"/>
    </w:pPr>
    <w:rPr>
      <w:rFonts w:ascii="Arial" w:hAnsi="Arial" w:cs="Arial" w:eastAsiaTheme="minorEastAsia"/>
      <w:color w:val="000000"/>
      <w:sz w:val="20"/>
      <w:szCs w:val="20"/>
    </w:rPr>
  </w:style>
  <w:style w:type="paragraph" w:customStyle="1" w:styleId="305">
    <w:name w:val="Nivel 4"/>
    <w:basedOn w:val="304"/>
    <w:link w:val="311"/>
    <w:autoRedefine/>
    <w:qFormat/>
    <w:uiPriority w:val="0"/>
    <w:pPr>
      <w:ind w:left="567"/>
    </w:pPr>
    <w:rPr>
      <w:color w:val="auto"/>
    </w:rPr>
  </w:style>
  <w:style w:type="paragraph" w:customStyle="1" w:styleId="306">
    <w:name w:val="Nivel 5"/>
    <w:basedOn w:val="305"/>
    <w:autoRedefine/>
    <w:qFormat/>
    <w:uiPriority w:val="0"/>
    <w:pPr>
      <w:ind w:left="851"/>
    </w:pPr>
  </w:style>
  <w:style w:type="character" w:customStyle="1" w:styleId="307">
    <w:name w:val="Nivel 3 Char"/>
    <w:basedOn w:val="3"/>
    <w:link w:val="304"/>
    <w:autoRedefine/>
    <w:qFormat/>
    <w:locked/>
    <w:uiPriority w:val="0"/>
    <w:rPr>
      <w:rFonts w:ascii="Arial" w:hAnsi="Arial" w:cs="Arial" w:eastAsiaTheme="minorEastAsia"/>
      <w:color w:val="000000"/>
      <w:sz w:val="20"/>
      <w:szCs w:val="20"/>
      <w:lang w:eastAsia="pt-BR"/>
    </w:rPr>
  </w:style>
  <w:style w:type="character" w:customStyle="1" w:styleId="308">
    <w:name w:val="Texto de comentário Char"/>
    <w:basedOn w:val="3"/>
    <w:link w:val="16"/>
    <w:autoRedefine/>
    <w:semiHidden/>
    <w:qFormat/>
    <w:uiPriority w:val="0"/>
    <w:rPr>
      <w:rFonts w:ascii="ecofont_spranq_eco_sans" w:hAnsi="ecofont_spranq_eco_sans" w:cs="Tahoma" w:eastAsiaTheme="minorEastAsia"/>
      <w:sz w:val="20"/>
      <w:szCs w:val="20"/>
      <w:lang w:eastAsia="pt-BR"/>
    </w:rPr>
  </w:style>
  <w:style w:type="character" w:customStyle="1" w:styleId="309">
    <w:name w:val="Nível 3-R Char"/>
    <w:basedOn w:val="307"/>
    <w:link w:val="310"/>
    <w:autoRedefine/>
    <w:qFormat/>
    <w:locked/>
    <w:uiPriority w:val="0"/>
    <w:rPr>
      <w:rFonts w:ascii="Arial" w:hAnsi="Arial" w:cs="Arial" w:eastAsiaTheme="minorEastAsia"/>
      <w:i/>
      <w:iCs/>
      <w:color w:val="FF0000"/>
      <w:sz w:val="22"/>
      <w:szCs w:val="22"/>
      <w:lang w:eastAsia="pt-BR"/>
    </w:rPr>
  </w:style>
  <w:style w:type="paragraph" w:customStyle="1" w:styleId="310">
    <w:name w:val="Nível 3-R"/>
    <w:basedOn w:val="304"/>
    <w:link w:val="309"/>
    <w:autoRedefine/>
    <w:qFormat/>
    <w:uiPriority w:val="0"/>
    <w:pPr>
      <w:numPr>
        <w:ilvl w:val="2"/>
        <w:numId w:val="1"/>
      </w:numPr>
      <w:ind w:left="284" w:firstLine="0"/>
    </w:pPr>
    <w:rPr>
      <w:rFonts w:eastAsiaTheme="minorHAnsi"/>
      <w:i/>
      <w:iCs/>
      <w:color w:val="FF0000"/>
      <w:sz w:val="22"/>
      <w:szCs w:val="22"/>
    </w:rPr>
  </w:style>
  <w:style w:type="character" w:customStyle="1" w:styleId="311">
    <w:name w:val="Nivel 4 Char"/>
    <w:basedOn w:val="3"/>
    <w:link w:val="305"/>
    <w:autoRedefine/>
    <w:qFormat/>
    <w:locked/>
    <w:uiPriority w:val="0"/>
    <w:rPr>
      <w:rFonts w:ascii="Arial" w:hAnsi="Arial" w:cs="Arial" w:eastAsiaTheme="minorEastAsia"/>
      <w:sz w:val="20"/>
      <w:szCs w:val="20"/>
      <w:lang w:eastAsia="pt-BR"/>
    </w:rPr>
  </w:style>
  <w:style w:type="character" w:customStyle="1" w:styleId="312">
    <w:name w:val="Menção Pendente1"/>
    <w:basedOn w:val="3"/>
    <w:autoRedefine/>
    <w:semiHidden/>
    <w:unhideWhenUsed/>
    <w:qFormat/>
    <w:uiPriority w:val="99"/>
    <w:rPr>
      <w:color w:val="605E5C"/>
      <w:shd w:val="clear" w:color="auto" w:fill="E1DFDD"/>
    </w:rPr>
  </w:style>
  <w:style w:type="paragraph" w:customStyle="1" w:styleId="313">
    <w:name w:val="Conteúdo do quadro"/>
    <w:basedOn w:val="1"/>
    <w:autoRedefine/>
    <w:qFormat/>
    <w:uiPriority w:val="0"/>
    <w:pPr>
      <w:widowControl w:val="0"/>
    </w:pPr>
    <w:rPr>
      <w:sz w:val="22"/>
      <w:szCs w:val="22"/>
      <w:lang w:val="pt-PT" w:eastAsia="en-US"/>
    </w:rPr>
  </w:style>
  <w:style w:type="character" w:customStyle="1" w:styleId="314">
    <w:name w:val="Assunto do comentário Char"/>
    <w:basedOn w:val="308"/>
    <w:link w:val="28"/>
    <w:autoRedefine/>
    <w:semiHidden/>
    <w:qFormat/>
    <w:uiPriority w:val="99"/>
    <w:rPr>
      <w:rFonts w:ascii="Times New Roman" w:hAnsi="Times New Roman" w:eastAsia="Times New Roman" w:cs="Times New Roman"/>
      <w:b/>
      <w:bCs/>
      <w:sz w:val="20"/>
      <w:szCs w:val="20"/>
      <w:lang w:eastAsia="pt-BR"/>
    </w:rPr>
  </w:style>
  <w:style w:type="character" w:customStyle="1" w:styleId="315">
    <w:name w:val="Nível 3 Char"/>
    <w:basedOn w:val="3"/>
    <w:link w:val="316"/>
    <w:autoRedefine/>
    <w:qFormat/>
    <w:locked/>
    <w:uiPriority w:val="0"/>
    <w:rPr>
      <w:rFonts w:ascii="Arial" w:hAnsi="Arial" w:cs="Arial"/>
      <w:sz w:val="22"/>
      <w:szCs w:val="22"/>
      <w:lang w:eastAsia="en-US"/>
    </w:rPr>
  </w:style>
  <w:style w:type="paragraph" w:customStyle="1" w:styleId="316">
    <w:name w:val="Nível 3"/>
    <w:basedOn w:val="310"/>
    <w:link w:val="315"/>
    <w:autoRedefine/>
    <w:qFormat/>
    <w:uiPriority w:val="0"/>
    <w:rPr>
      <w:i w:val="0"/>
      <w:iCs w:val="0"/>
      <w:color w:val="auto"/>
      <w:lang w:eastAsia="en-US"/>
    </w:rPr>
  </w:style>
  <w:style w:type="character" w:customStyle="1" w:styleId="317">
    <w:name w:val="Nível 4 Char"/>
    <w:basedOn w:val="315"/>
    <w:link w:val="318"/>
    <w:autoRedefine/>
    <w:qFormat/>
    <w:locked/>
    <w:uiPriority w:val="0"/>
    <w:rPr>
      <w:rFonts w:ascii="Arial" w:hAnsi="Arial" w:cs="Arial"/>
      <w:sz w:val="22"/>
      <w:szCs w:val="22"/>
      <w:lang w:eastAsia="en-US"/>
    </w:rPr>
  </w:style>
  <w:style w:type="paragraph" w:customStyle="1" w:styleId="318">
    <w:name w:val="Nível 4"/>
    <w:basedOn w:val="316"/>
    <w:link w:val="317"/>
    <w:autoRedefine/>
    <w:qFormat/>
    <w:uiPriority w:val="0"/>
    <w:pPr>
      <w:numPr>
        <w:ilvl w:val="0"/>
        <w:numId w:val="0"/>
      </w:numPr>
      <w:ind w:left="567"/>
    </w:pPr>
  </w:style>
  <w:style w:type="character" w:customStyle="1" w:styleId="319">
    <w:name w:val="Nível 2 -Red Char"/>
    <w:basedOn w:val="302"/>
    <w:link w:val="320"/>
    <w:autoRedefine/>
    <w:qFormat/>
    <w:locked/>
    <w:uiPriority w:val="0"/>
    <w:rPr>
      <w:rFonts w:ascii="Arial" w:hAnsi="Arial" w:cs="Arial"/>
      <w:i/>
      <w:iCs/>
      <w:color w:val="FF0000"/>
      <w:sz w:val="22"/>
      <w:szCs w:val="22"/>
      <w:lang w:eastAsia="en-US"/>
    </w:rPr>
  </w:style>
  <w:style w:type="paragraph" w:customStyle="1" w:styleId="320">
    <w:name w:val="Nível 2 -Red"/>
    <w:basedOn w:val="303"/>
    <w:link w:val="319"/>
    <w:autoRedefine/>
    <w:qFormat/>
    <w:uiPriority w:val="0"/>
    <w:pPr>
      <w:numPr>
        <w:ilvl w:val="1"/>
        <w:numId w:val="1"/>
      </w:numPr>
      <w:autoSpaceDE w:val="0"/>
      <w:autoSpaceDN w:val="0"/>
      <w:adjustRightInd w:val="0"/>
      <w:ind w:left="0" w:firstLine="0"/>
    </w:pPr>
    <w:rPr>
      <w:i/>
      <w:iCs/>
      <w:color w:val="FF0000"/>
      <w:lang w:eastAsia="en-US"/>
    </w:rPr>
  </w:style>
  <w:style w:type="character" w:customStyle="1" w:styleId="321">
    <w:name w:val="SubTitNN Char"/>
    <w:basedOn w:val="3"/>
    <w:link w:val="322"/>
    <w:autoRedefine/>
    <w:qFormat/>
    <w:locked/>
    <w:uiPriority w:val="0"/>
    <w:rPr>
      <w:rFonts w:ascii="Arial" w:hAnsi="Arial" w:cs="Arial"/>
      <w:b/>
      <w:bCs/>
      <w:iCs/>
    </w:rPr>
  </w:style>
  <w:style w:type="paragraph" w:customStyle="1" w:styleId="322">
    <w:name w:val="SubTitNN"/>
    <w:basedOn w:val="1"/>
    <w:link w:val="321"/>
    <w:autoRedefine/>
    <w:qFormat/>
    <w:uiPriority w:val="0"/>
    <w:pPr>
      <w:spacing w:before="240" w:after="120" w:line="276" w:lineRule="auto"/>
      <w:jc w:val="both"/>
    </w:pPr>
    <w:rPr>
      <w:rFonts w:ascii="Arial" w:hAnsi="Arial" w:cs="Arial" w:eastAsiaTheme="minorHAnsi"/>
      <w:b/>
      <w:bCs/>
      <w:iCs/>
      <w:sz w:val="22"/>
      <w:szCs w:val="22"/>
      <w:lang w:eastAsia="en-US"/>
    </w:rPr>
  </w:style>
  <w:style w:type="character" w:customStyle="1" w:styleId="323">
    <w:name w:val="Título 1 Char1"/>
    <w:basedOn w:val="3"/>
    <w:autoRedefine/>
    <w:qFormat/>
    <w:uiPriority w:val="9"/>
    <w:rPr>
      <w:rFonts w:asciiTheme="majorHAnsi" w:hAnsiTheme="majorHAnsi" w:eastAsiaTheme="majorEastAsia" w:cstheme="majorBidi"/>
      <w:color w:val="376092" w:themeColor="accent1" w:themeShade="BF"/>
      <w:sz w:val="32"/>
      <w:szCs w:val="32"/>
      <w:lang w:eastAsia="pt-BR"/>
    </w:rPr>
  </w:style>
  <w:style w:type="character" w:customStyle="1" w:styleId="324">
    <w:name w:val="15"/>
    <w:basedOn w:val="3"/>
    <w:autoRedefine/>
    <w:qFormat/>
    <w:uiPriority w:val="0"/>
    <w:rPr>
      <w:rFonts w:hint="default" w:ascii="Times New Roman" w:hAnsi="Times New Roman" w:cs="Times New Roman"/>
      <w:color w:val="000080"/>
      <w:u w:val="single"/>
    </w:rPr>
  </w:style>
  <w:style w:type="character" w:customStyle="1" w:styleId="325">
    <w:name w:val="16"/>
    <w:basedOn w:val="3"/>
    <w:autoRedefine/>
    <w:qFormat/>
    <w:uiPriority w:val="0"/>
    <w:rPr>
      <w:rFonts w:hint="default" w:ascii="Times New Roman" w:hAnsi="Times New Roman" w:cs="Times New Roman"/>
      <w:color w:val="000080"/>
      <w:u w:val="single"/>
    </w:rPr>
  </w:style>
  <w:style w:type="paragraph" w:customStyle="1" w:styleId="326">
    <w:name w:val="No Spacing1"/>
    <w:basedOn w:val="1"/>
    <w:autoRedefine/>
    <w:qFormat/>
    <w:uiPriority w:val="0"/>
    <w:pPr>
      <w:widowControl w:val="0"/>
      <w:suppressAutoHyphens w:val="0"/>
    </w:pPr>
    <w:rPr>
      <w:rFonts w:eastAsia="Tahoma"/>
    </w:rPr>
  </w:style>
  <w:style w:type="paragraph" w:customStyle="1" w:styleId="327">
    <w:name w:val="List Paragraph2"/>
    <w:basedOn w:val="1"/>
    <w:autoRedefine/>
    <w:qFormat/>
    <w:uiPriority w:val="0"/>
    <w:pPr>
      <w:suppressAutoHyphens w:val="0"/>
      <w:spacing w:before="100" w:beforeAutospacing="1" w:after="100" w:afterAutospacing="1"/>
      <w:contextualSpacing/>
    </w:pPr>
  </w:style>
  <w:style w:type="paragraph" w:customStyle="1" w:styleId="328">
    <w:name w:val="WW-Normal (Web)"/>
    <w:basedOn w:val="1"/>
    <w:autoRedefine/>
    <w:qFormat/>
    <w:uiPriority w:val="0"/>
    <w:pPr>
      <w:spacing w:before="280" w:after="280"/>
    </w:pPr>
    <w:rPr>
      <w:lang w:eastAsia="ar-SA"/>
    </w:rPr>
  </w:style>
  <w:style w:type="table" w:customStyle="1" w:styleId="329">
    <w:name w:val="Table Normal"/>
    <w:autoRedefine/>
    <w:qFormat/>
    <w:uiPriority w:val="0"/>
    <w:pPr>
      <w:suppressAutoHyphens/>
    </w:pPr>
    <w:rPr>
      <w:rFonts w:ascii="Calibri" w:hAnsi="Calibri" w:eastAsia="Calibri" w:cs="Calibri"/>
      <w:sz w:val="22"/>
      <w:szCs w:val="22"/>
      <w:lang w:eastAsia="zh-CN" w:bidi="hi-IN"/>
    </w:rPr>
    <w:tblPr>
      <w:tblCellMar>
        <w:top w:w="0" w:type="dxa"/>
        <w:left w:w="0" w:type="dxa"/>
        <w:bottom w:w="0" w:type="dxa"/>
        <w:right w:w="0" w:type="dxa"/>
      </w:tblCellMar>
    </w:tblPr>
  </w:style>
  <w:style w:type="character" w:customStyle="1" w:styleId="330">
    <w:name w:val="tx2"/>
    <w:basedOn w:val="3"/>
    <w:autoRedefine/>
    <w:qFormat/>
    <w:uiPriority w:val="0"/>
  </w:style>
  <w:style w:type="paragraph" w:customStyle="1" w:styleId="331">
    <w:name w:val="LO-normal"/>
    <w:autoRedefine/>
    <w:qFormat/>
    <w:uiPriority w:val="0"/>
    <w:pPr>
      <w:suppressAutoHyphens/>
      <w:spacing w:after="160" w:line="259" w:lineRule="auto"/>
    </w:pPr>
    <w:rPr>
      <w:rFonts w:ascii="Calibri" w:hAnsi="Calibri" w:eastAsia="Calibri" w:cs="Calibri"/>
      <w:sz w:val="22"/>
      <w:szCs w:val="22"/>
      <w:lang w:val="pt-BR" w:eastAsia="zh-CN" w:bidi="hi-IN"/>
    </w:rPr>
  </w:style>
  <w:style w:type="paragraph" w:customStyle="1" w:styleId="332">
    <w:name w:val="Conteúdo da tabela"/>
    <w:basedOn w:val="1"/>
    <w:autoRedefine/>
    <w:qFormat/>
    <w:uiPriority w:val="0"/>
    <w:pPr>
      <w:widowControl w:val="0"/>
      <w:suppressLineNumbers/>
      <w:spacing w:after="160" w:line="259" w:lineRule="auto"/>
    </w:pPr>
    <w:rPr>
      <w:rFonts w:ascii="Calibri" w:hAnsi="Calibri" w:eastAsia="Calibri" w:cs="Calibri"/>
      <w:sz w:val="22"/>
      <w:szCs w:val="22"/>
      <w:lang w:eastAsia="zh-CN" w:bidi="hi-IN"/>
    </w:rPr>
  </w:style>
  <w:style w:type="paragraph" w:customStyle="1" w:styleId="333">
    <w:name w:val="Text body"/>
    <w:basedOn w:val="298"/>
    <w:autoRedefine/>
    <w:qFormat/>
    <w:uiPriority w:val="0"/>
    <w:pPr>
      <w:widowControl/>
      <w:spacing w:after="140" w:line="276" w:lineRule="auto"/>
    </w:pPr>
    <w:rPr>
      <w:rFonts w:eastAsia="Noto Serif CJK SC" w:cs="Lohit Devanagari"/>
    </w:rPr>
  </w:style>
  <w:style w:type="paragraph" w:customStyle="1" w:styleId="334">
    <w:name w:val="Table Contents"/>
    <w:basedOn w:val="298"/>
    <w:qFormat/>
    <w:uiPriority w:val="0"/>
    <w:pPr>
      <w:suppressLineNumbers/>
    </w:pPr>
    <w:rPr>
      <w:rFonts w:eastAsia="Noto Serif CJK SC" w:cs="Lohit Devanagari"/>
    </w:rPr>
  </w:style>
  <w:style w:type="character" w:customStyle="1" w:styleId="335">
    <w:name w:val="Internet link"/>
    <w:qFormat/>
    <w:uiPriority w:val="0"/>
    <w:rPr>
      <w:color w:val="0000FF"/>
      <w:u w:val="single"/>
    </w:rPr>
  </w:style>
  <w:style w:type="character" w:customStyle="1" w:styleId="336">
    <w:name w:val="markedcontent"/>
    <w:basedOn w:val="3"/>
    <w:qFormat/>
    <w:uiPriority w:val="0"/>
  </w:style>
  <w:style w:type="character" w:customStyle="1" w:styleId="337">
    <w:name w:val="Forte1"/>
    <w:basedOn w:val="338"/>
    <w:link w:val="1"/>
    <w:qFormat/>
    <w:uiPriority w:val="0"/>
    <w:rPr>
      <w:rFonts w:ascii="Times New Roman" w:hAnsi="Times New Roman" w:eastAsia="Times New Roman" w:cs="Times New Roman"/>
      <w:sz w:val="24"/>
      <w:szCs w:val="24"/>
      <w:lang w:val="pt-BR" w:eastAsia="pt-BR" w:bidi="ar-SA"/>
    </w:rPr>
  </w:style>
  <w:style w:type="character" w:customStyle="1" w:styleId="338">
    <w:name w:val="Fonte parág. padrão11"/>
    <w:link w:val="1"/>
    <w:qFormat/>
    <w:uiPriority w:val="0"/>
  </w:style>
  <w:style w:type="table" w:customStyle="1" w:styleId="339">
    <w:name w:val="Tabela com grade1"/>
    <w:basedOn w:val="34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0">
    <w:name w:val="Tabela normal1"/>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1">
    <w:name w:val="2"/>
    <w:basedOn w:val="342"/>
    <w:autoRedefine/>
    <w:qFormat/>
    <w:uiPriority w:val="0"/>
    <w:tblPr>
      <w:tblCellMar>
        <w:top w:w="0" w:type="dxa"/>
        <w:left w:w="108" w:type="dxa"/>
        <w:bottom w:w="0" w:type="dxa"/>
        <w:right w:w="108" w:type="dxa"/>
      </w:tblCellMar>
    </w:tblPr>
  </w:style>
  <w:style w:type="table" w:customStyle="1" w:styleId="342">
    <w:name w:val="Table Normal1"/>
    <w:autoRedefine/>
    <w:qFormat/>
    <w:uiPriority w:val="0"/>
    <w:tblPr>
      <w:tblCellMar>
        <w:top w:w="0" w:type="dxa"/>
        <w:left w:w="0" w:type="dxa"/>
        <w:bottom w:w="0" w:type="dxa"/>
        <w:right w:w="0" w:type="dxa"/>
      </w:tblCellMar>
    </w:tblPr>
  </w:style>
  <w:style w:type="table" w:customStyle="1" w:styleId="343">
    <w:name w:val="1"/>
    <w:basedOn w:val="342"/>
    <w:qFormat/>
    <w:uiPriority w:val="0"/>
    <w:tblPr>
      <w:tblCellMar>
        <w:top w:w="100" w:type="dxa"/>
        <w:left w:w="100" w:type="dxa"/>
        <w:bottom w:w="100" w:type="dxa"/>
        <w:right w:w="100" w:type="dxa"/>
      </w:tblCellMar>
    </w:tblPr>
  </w:style>
  <w:style w:type="table" w:customStyle="1" w:styleId="344">
    <w:name w:val="5"/>
    <w:basedOn w:val="342"/>
    <w:autoRedefine/>
    <w:qFormat/>
    <w:uiPriority w:val="0"/>
    <w:tblPr>
      <w:tblCellMar>
        <w:top w:w="100" w:type="dxa"/>
        <w:left w:w="100" w:type="dxa"/>
        <w:bottom w:w="100" w:type="dxa"/>
        <w:right w:w="100" w:type="dxa"/>
      </w:tblCellMar>
    </w:tblPr>
  </w:style>
  <w:style w:type="table" w:customStyle="1" w:styleId="345">
    <w:name w:val="4"/>
    <w:basedOn w:val="342"/>
    <w:qFormat/>
    <w:uiPriority w:val="0"/>
    <w:tblPr>
      <w:tblCellMar>
        <w:top w:w="100" w:type="dxa"/>
        <w:left w:w="100" w:type="dxa"/>
        <w:bottom w:w="100" w:type="dxa"/>
        <w:right w:w="100" w:type="dxa"/>
      </w:tblCellMar>
    </w:tblPr>
  </w:style>
  <w:style w:type="table" w:customStyle="1" w:styleId="346">
    <w:name w:val="3"/>
    <w:basedOn w:val="342"/>
    <w:autoRedefine/>
    <w:qFormat/>
    <w:uiPriority w:val="0"/>
    <w:tblPr>
      <w:tblCellMar>
        <w:top w:w="0" w:type="dxa"/>
        <w:left w:w="108" w:type="dxa"/>
        <w:bottom w:w="0" w:type="dxa"/>
        <w:right w:w="108" w:type="dxa"/>
      </w:tblCellMar>
    </w:tblPr>
  </w:style>
  <w:style w:type="paragraph" w:customStyle="1" w:styleId="347">
    <w:name w:val="Table Paragraph"/>
    <w:basedOn w:val="1"/>
    <w:qFormat/>
    <w:uiPriority w:val="1"/>
  </w:style>
  <w:style w:type="table" w:customStyle="1" w:styleId="348">
    <w:name w:val="_Style 64"/>
    <w:basedOn w:val="329"/>
    <w:qFormat/>
    <w:uiPriority w:val="0"/>
    <w:tblPr>
      <w:tblCellMar>
        <w:top w:w="100" w:type="dxa"/>
        <w:left w:w="100" w:type="dxa"/>
        <w:bottom w:w="100" w:type="dxa"/>
        <w:right w:w="100" w:type="dxa"/>
      </w:tblCellMar>
    </w:tblPr>
  </w:style>
  <w:style w:type="paragraph" w:customStyle="1" w:styleId="349">
    <w:name w:val="Heading 1"/>
    <w:basedOn w:val="1"/>
    <w:next w:val="1"/>
    <w:qFormat/>
    <w:uiPriority w:val="1"/>
    <w:pPr>
      <w:keepNext/>
      <w:keepLines/>
      <w:suppressAutoHyphens/>
      <w:overflowPunct w:val="0"/>
      <w:spacing w:before="480" w:line="276" w:lineRule="auto"/>
      <w:outlineLvl w:val="0"/>
    </w:pPr>
    <w:rPr>
      <w:rFonts w:ascii="Cambria" w:hAnsi="Cambria" w:eastAsia="Calibri" w:cs="DejaVu Sans"/>
      <w:b/>
      <w:bCs/>
      <w:color w:val="365F91"/>
      <w:sz w:val="28"/>
      <w:szCs w:val="2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18696</Words>
  <Characters>100959</Characters>
  <Lines>841</Lines>
  <Paragraphs>238</Paragraphs>
  <TotalTime>0</TotalTime>
  <ScaleCrop>false</ScaleCrop>
  <LinksUpToDate>false</LinksUpToDate>
  <CharactersWithSpaces>119417</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2023-10-31T10:15:00Z</dcterms:created>
  <dc:creator>usuario</dc:creator>
  <cp:lastModifiedBy>Nilye Oliveira</cp:lastModifiedBy>
  <cp:lastPrinted>2023-11-06T14:00:00Z</cp:lastPrinted>
  <dcterms:modified xsi:type="dcterms:W3CDTF">2025-04-28T11:43:31Z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1046-12.2.0.20795</vt:lpwstr>
  </property>
  <property fmtid="{D5CDD505-2E9C-101B-9397-08002B2CF9AE}" pid="3" name="ICV">
    <vt:lpwstr>FC22D198726247A6AECF7B78519B32B0_13</vt:lpwstr>
  </property>
</Properties>
</file>